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12"/>
        <w:gridCol w:w="2977"/>
        <w:gridCol w:w="1276"/>
        <w:gridCol w:w="3118"/>
      </w:tblGrid>
      <w:tr w:rsidR="00972640" w:rsidRPr="000238CF" w14:paraId="1B1066E6" w14:textId="77777777" w:rsidTr="00972640">
        <w:trPr>
          <w:trHeight w:val="353"/>
        </w:trPr>
        <w:tc>
          <w:tcPr>
            <w:tcW w:w="5812" w:type="dxa"/>
            <w:shd w:val="clear" w:color="auto" w:fill="auto"/>
          </w:tcPr>
          <w:p w14:paraId="1B1066E2" w14:textId="77777777" w:rsidR="00972640" w:rsidRPr="000238CF" w:rsidRDefault="00972640" w:rsidP="00972640">
            <w:pPr>
              <w:tabs>
                <w:tab w:val="left" w:pos="7920"/>
              </w:tabs>
              <w:spacing w:before="60" w:after="60" w:line="240" w:lineRule="auto"/>
              <w:rPr>
                <w:rFonts w:ascii="Arial" w:eastAsia="ヒラギノ角ゴ Pro W3" w:hAnsi="Arial" w:cs="Arial"/>
                <w:sz w:val="20"/>
                <w:szCs w:val="20"/>
                <w:lang w:val="nl-BE" w:eastAsia="nl-BE"/>
              </w:rPr>
            </w:pPr>
            <w:r w:rsidRPr="000238CF">
              <w:rPr>
                <w:rFonts w:ascii="Arial" w:eastAsia="ヒラギノ角ゴ Pro W3" w:hAnsi="Arial" w:cs="Arial"/>
                <w:sz w:val="20"/>
                <w:szCs w:val="20"/>
                <w:lang w:val="nl-BE" w:eastAsia="nl-BE"/>
              </w:rPr>
              <w:t xml:space="preserve">Naam </w:t>
            </w:r>
            <w:r w:rsidR="00655794">
              <w:rPr>
                <w:rFonts w:ascii="Arial" w:eastAsia="ヒラギノ角ゴ Pro W3" w:hAnsi="Arial" w:cs="Arial"/>
                <w:sz w:val="20"/>
                <w:szCs w:val="20"/>
                <w:lang w:val="nl-BE" w:eastAsia="nl-BE"/>
              </w:rPr>
              <w:t xml:space="preserve">van de </w:t>
            </w:r>
            <w:r w:rsidR="00AA007B">
              <w:rPr>
                <w:rFonts w:ascii="Arial" w:eastAsia="ヒラギノ角ゴ Pro W3" w:hAnsi="Arial" w:cs="Arial"/>
                <w:sz w:val="20"/>
                <w:szCs w:val="20"/>
                <w:lang w:val="nl-BE" w:eastAsia="nl-BE"/>
              </w:rPr>
              <w:t>cliënt</w:t>
            </w:r>
          </w:p>
        </w:tc>
        <w:tc>
          <w:tcPr>
            <w:tcW w:w="2977" w:type="dxa"/>
            <w:shd w:val="clear" w:color="auto" w:fill="auto"/>
          </w:tcPr>
          <w:p w14:paraId="1B1066E3" w14:textId="77777777" w:rsidR="00972640" w:rsidRPr="000238CF" w:rsidRDefault="00972640" w:rsidP="00972640">
            <w:pPr>
              <w:tabs>
                <w:tab w:val="left" w:pos="7920"/>
              </w:tabs>
              <w:spacing w:before="60" w:after="60" w:line="240" w:lineRule="auto"/>
              <w:rPr>
                <w:rFonts w:ascii="Arial" w:eastAsia="ヒラギノ角ゴ Pro W3" w:hAnsi="Arial" w:cs="Arial"/>
                <w:b/>
                <w:sz w:val="20"/>
                <w:szCs w:val="20"/>
                <w:lang w:val="nl-BE" w:eastAsia="nl-BE"/>
              </w:rPr>
            </w:pPr>
          </w:p>
        </w:tc>
        <w:tc>
          <w:tcPr>
            <w:tcW w:w="1276" w:type="dxa"/>
            <w:shd w:val="clear" w:color="auto" w:fill="auto"/>
          </w:tcPr>
          <w:p w14:paraId="1B1066E4" w14:textId="77777777" w:rsidR="00972640" w:rsidRPr="000238CF" w:rsidRDefault="00972640" w:rsidP="00972640">
            <w:pPr>
              <w:tabs>
                <w:tab w:val="left" w:pos="7920"/>
              </w:tabs>
              <w:spacing w:before="60" w:after="60" w:line="240" w:lineRule="auto"/>
              <w:rPr>
                <w:rFonts w:ascii="Arial" w:eastAsia="ヒラギノ角ゴ Pro W3" w:hAnsi="Arial" w:cs="Arial"/>
                <w:b/>
                <w:sz w:val="20"/>
                <w:szCs w:val="20"/>
                <w:lang w:val="nl-BE" w:eastAsia="nl-BE"/>
              </w:rPr>
            </w:pPr>
            <w:r w:rsidRPr="000238CF">
              <w:rPr>
                <w:rFonts w:ascii="Arial" w:eastAsia="ヒラギノ角ゴ Pro W3" w:hAnsi="Arial" w:cs="Arial"/>
                <w:sz w:val="20"/>
                <w:szCs w:val="20"/>
                <w:lang w:val="nl-BE" w:eastAsia="nl-BE"/>
              </w:rPr>
              <w:t>Boekjaar</w:t>
            </w:r>
          </w:p>
        </w:tc>
        <w:tc>
          <w:tcPr>
            <w:tcW w:w="3118" w:type="dxa"/>
            <w:shd w:val="clear" w:color="auto" w:fill="auto"/>
          </w:tcPr>
          <w:p w14:paraId="1B1066E5" w14:textId="77777777" w:rsidR="00972640" w:rsidRPr="000238CF" w:rsidRDefault="00972640" w:rsidP="00972640">
            <w:pPr>
              <w:tabs>
                <w:tab w:val="left" w:pos="7920"/>
              </w:tabs>
              <w:spacing w:before="60" w:after="60" w:line="240" w:lineRule="auto"/>
              <w:rPr>
                <w:rFonts w:ascii="Arial" w:eastAsia="ヒラギノ角ゴ Pro W3" w:hAnsi="Arial" w:cs="Arial"/>
                <w:b/>
                <w:sz w:val="20"/>
                <w:szCs w:val="20"/>
                <w:lang w:val="nl-BE" w:eastAsia="nl-BE"/>
              </w:rPr>
            </w:pPr>
          </w:p>
        </w:tc>
      </w:tr>
      <w:tr w:rsidR="00972640" w:rsidRPr="00DC51FF" w14:paraId="1B1066E9" w14:textId="77777777" w:rsidTr="00972640">
        <w:trPr>
          <w:trHeight w:val="345"/>
        </w:trPr>
        <w:tc>
          <w:tcPr>
            <w:tcW w:w="5812" w:type="dxa"/>
            <w:shd w:val="clear" w:color="auto" w:fill="auto"/>
          </w:tcPr>
          <w:p w14:paraId="1B1066E7" w14:textId="77777777" w:rsidR="00972640" w:rsidRPr="000238CF" w:rsidRDefault="0065662A" w:rsidP="00972640">
            <w:pPr>
              <w:tabs>
                <w:tab w:val="left" w:pos="7920"/>
              </w:tabs>
              <w:spacing w:before="60" w:after="60" w:line="240" w:lineRule="auto"/>
              <w:rPr>
                <w:rFonts w:ascii="Arial" w:eastAsia="ヒラギノ角ゴ Pro W3" w:hAnsi="Arial" w:cs="Arial"/>
                <w:b/>
                <w:bCs/>
                <w:spacing w:val="-5"/>
                <w:sz w:val="20"/>
                <w:szCs w:val="20"/>
                <w:lang w:val="nl-BE" w:eastAsia="nl-BE"/>
              </w:rPr>
            </w:pPr>
            <w:r>
              <w:rPr>
                <w:rFonts w:ascii="Arial" w:eastAsia="ヒラギノ角ゴ Pro W3" w:hAnsi="Arial" w:cs="Arial"/>
                <w:sz w:val="20"/>
                <w:szCs w:val="20"/>
                <w:lang w:val="nl-BE" w:eastAsia="nl-BE"/>
              </w:rPr>
              <w:t>Onderwerp</w:t>
            </w:r>
          </w:p>
        </w:tc>
        <w:tc>
          <w:tcPr>
            <w:tcW w:w="7371" w:type="dxa"/>
            <w:gridSpan w:val="3"/>
            <w:shd w:val="clear" w:color="auto" w:fill="BFBFBF"/>
          </w:tcPr>
          <w:p w14:paraId="1B1066E8" w14:textId="77777777" w:rsidR="00972640" w:rsidRPr="000238CF" w:rsidRDefault="00023E3F" w:rsidP="00023E3F">
            <w:pPr>
              <w:tabs>
                <w:tab w:val="left" w:pos="7920"/>
              </w:tabs>
              <w:spacing w:before="60" w:after="60" w:line="240" w:lineRule="auto"/>
              <w:jc w:val="center"/>
              <w:rPr>
                <w:rFonts w:ascii="Arial" w:eastAsia="ヒラギノ角ゴ Pro W3" w:hAnsi="Arial" w:cs="Arial"/>
                <w:b/>
                <w:bCs/>
                <w:spacing w:val="-5"/>
                <w:sz w:val="20"/>
                <w:szCs w:val="20"/>
                <w:lang w:val="nl-BE" w:eastAsia="nl-BE"/>
              </w:rPr>
            </w:pPr>
            <w:r>
              <w:rPr>
                <w:rFonts w:ascii="Arial" w:eastAsia="ヒラギノ角ゴ Pro W3" w:hAnsi="Arial" w:cs="Arial"/>
                <w:b/>
                <w:bCs/>
                <w:spacing w:val="-5"/>
                <w:sz w:val="20"/>
                <w:szCs w:val="20"/>
                <w:lang w:val="nl-BE" w:eastAsia="nl-BE"/>
              </w:rPr>
              <w:t>TRANSACTIES TUSSEN VERBONDEN PARTIJEN</w:t>
            </w:r>
          </w:p>
        </w:tc>
      </w:tr>
    </w:tbl>
    <w:p w14:paraId="1B1066EA" w14:textId="77777777" w:rsidR="0013236B" w:rsidRDefault="0013236B" w:rsidP="00A539C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1B1066EB" w14:textId="77777777" w:rsidR="00AC668C" w:rsidRPr="00A539CB" w:rsidRDefault="00AC668C" w:rsidP="00A539C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tbl>
      <w:tblPr>
        <w:tblStyle w:val="TableGrid"/>
        <w:tblW w:w="13183" w:type="dxa"/>
        <w:tblInd w:w="108" w:type="dxa"/>
        <w:tblLook w:val="04A0" w:firstRow="1" w:lastRow="0" w:firstColumn="1" w:lastColumn="0" w:noHBand="0" w:noVBand="1"/>
      </w:tblPr>
      <w:tblGrid>
        <w:gridCol w:w="12049"/>
        <w:gridCol w:w="1134"/>
      </w:tblGrid>
      <w:tr w:rsidR="00972640" w:rsidRPr="00E46C69" w14:paraId="1B1066EE" w14:textId="77777777" w:rsidTr="00972640">
        <w:tc>
          <w:tcPr>
            <w:tcW w:w="12049" w:type="dxa"/>
          </w:tcPr>
          <w:p w14:paraId="1B1066EC" w14:textId="77777777" w:rsidR="00972640" w:rsidRPr="00AC668C" w:rsidRDefault="00972640" w:rsidP="0097264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AC668C">
              <w:rPr>
                <w:rFonts w:ascii="Arial" w:hAnsi="Arial" w:cs="Arial"/>
                <w:b/>
                <w:sz w:val="20"/>
                <w:szCs w:val="20"/>
                <w:lang w:val="nl-BE"/>
              </w:rPr>
              <w:t>DOELSTELLING</w:t>
            </w:r>
          </w:p>
        </w:tc>
        <w:tc>
          <w:tcPr>
            <w:tcW w:w="1134" w:type="dxa"/>
          </w:tcPr>
          <w:p w14:paraId="1B1066ED" w14:textId="77777777" w:rsidR="00972640" w:rsidRPr="00AC668C" w:rsidRDefault="00972640" w:rsidP="0097264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AC668C">
              <w:rPr>
                <w:rFonts w:ascii="Arial" w:hAnsi="Arial" w:cs="Arial"/>
                <w:b/>
                <w:sz w:val="20"/>
                <w:szCs w:val="20"/>
                <w:lang w:val="nl-BE"/>
              </w:rPr>
              <w:t>ISA</w:t>
            </w:r>
          </w:p>
        </w:tc>
      </w:tr>
      <w:tr w:rsidR="00972640" w:rsidRPr="009E5E1D" w14:paraId="1B1066F1" w14:textId="77777777" w:rsidTr="00972640">
        <w:tc>
          <w:tcPr>
            <w:tcW w:w="12049" w:type="dxa"/>
          </w:tcPr>
          <w:p w14:paraId="1B1066EF" w14:textId="77777777" w:rsidR="00972640" w:rsidRPr="00435186" w:rsidRDefault="009E5E1D" w:rsidP="00401787">
            <w:pPr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  <w:r w:rsidRPr="007D7C7C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De</w:t>
            </w:r>
            <w:r w:rsidR="007D7C7C" w:rsidRPr="007D7C7C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 doelstelling van de</w:t>
            </w:r>
            <w:r w:rsidRPr="007D7C7C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ze checklist is </w:t>
            </w:r>
            <w:r w:rsidRPr="00435186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het documenteren van de </w:t>
            </w:r>
            <w:r w:rsidR="007D7C7C" w:rsidRPr="00435186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con</w:t>
            </w:r>
            <w:r w:rsidR="007D7C7C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t</w:t>
            </w:r>
            <w:r w:rsidR="007D7C7C" w:rsidRPr="007D7C7C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rolewerkzaamheden</w:t>
            </w:r>
            <w:r w:rsidRPr="007D7C7C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 voor transacties tussen verbon</w:t>
            </w:r>
            <w:r w:rsidR="00CB3042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den partijen. Het bestuurs</w:t>
            </w:r>
            <w:r w:rsidRPr="007D7C7C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orgaan </w:t>
            </w:r>
            <w:r w:rsidR="00435186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is </w:t>
            </w:r>
            <w:r w:rsidRPr="00435186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verantwoordelijk</w:t>
            </w:r>
            <w:r w:rsidR="00435186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 voor het</w:t>
            </w:r>
            <w:r w:rsidRPr="00435186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 identificeren </w:t>
            </w:r>
            <w:r w:rsidR="00435186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van de </w:t>
            </w:r>
            <w:r w:rsidRPr="00435186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verbonden partijen en </w:t>
            </w:r>
            <w:r w:rsidR="00CC6517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het verstrekken van </w:t>
            </w:r>
            <w:r w:rsidRPr="00435186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de vereiste informatie, m</w:t>
            </w:r>
            <w:r w:rsidR="00E0687D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eer bepaald</w:t>
            </w:r>
            <w:r w:rsidRPr="00435186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 </w:t>
            </w:r>
            <w:r w:rsidR="00401787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met betrekking tot </w:t>
            </w:r>
            <w:r w:rsidR="00E0687D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de </w:t>
            </w:r>
            <w:r w:rsidRPr="00435186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transacties tussen verbonden partijen</w:t>
            </w:r>
            <w:r w:rsidRPr="007D7C7C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. </w:t>
            </w:r>
            <w:r w:rsidR="00E0687D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Hiertoe </w:t>
            </w:r>
            <w:r w:rsidRPr="007D7C7C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moet de entiteit </w:t>
            </w:r>
            <w:r w:rsidR="005867EC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toereikende</w:t>
            </w:r>
            <w:r w:rsidRPr="007D7C7C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 interne </w:t>
            </w:r>
            <w:r w:rsidR="005867EC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beheersings</w:t>
            </w:r>
            <w:r w:rsidRPr="007D7C7C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procedures</w:t>
            </w:r>
            <w:r w:rsidR="00E0687D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 implementeren</w:t>
            </w:r>
            <w:r w:rsidRPr="007D7C7C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. Deze procedures zullen </w:t>
            </w:r>
            <w:r w:rsidR="005867EC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meer of minder </w:t>
            </w:r>
            <w:r w:rsidRPr="007D7C7C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formeel </w:t>
            </w:r>
            <w:r w:rsidR="005867EC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zijn </w:t>
            </w:r>
            <w:r w:rsidRPr="007D7C7C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afhankelijk van de grootte van de entiteit. De </w:t>
            </w:r>
            <w:r w:rsidR="005867EC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auditor zal </w:t>
            </w:r>
            <w:r w:rsidR="00401787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in het bijzonder toezien op de naleving </w:t>
            </w:r>
            <w:r w:rsidRPr="007D7C7C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van de </w:t>
            </w:r>
            <w:r w:rsidR="00401787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 xml:space="preserve">van toepassing zijnde </w:t>
            </w:r>
            <w:r w:rsidRPr="007D7C7C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wet</w:t>
            </w:r>
            <w:r w:rsidR="00401787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- en regelgeving</w:t>
            </w:r>
            <w:r w:rsidRPr="007D7C7C">
              <w:rPr>
                <w:rFonts w:ascii="Arial" w:eastAsia="Times New Roman" w:hAnsi="Arial" w:cs="Arial"/>
                <w:sz w:val="20"/>
                <w:szCs w:val="20"/>
                <w:lang w:val="nl-NL"/>
              </w:rPr>
              <w:t>.</w:t>
            </w:r>
          </w:p>
        </w:tc>
        <w:tc>
          <w:tcPr>
            <w:tcW w:w="1134" w:type="dxa"/>
          </w:tcPr>
          <w:p w14:paraId="1B1066F0" w14:textId="77777777" w:rsidR="00972640" w:rsidRPr="00435186" w:rsidRDefault="009E5E1D" w:rsidP="00AC668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435186">
              <w:rPr>
                <w:rFonts w:ascii="Arial" w:hAnsi="Arial" w:cs="Arial"/>
                <w:sz w:val="20"/>
                <w:szCs w:val="20"/>
                <w:lang w:val="nl-BE"/>
              </w:rPr>
              <w:t>550</w:t>
            </w:r>
          </w:p>
        </w:tc>
      </w:tr>
    </w:tbl>
    <w:p w14:paraId="1B1066F2" w14:textId="77777777" w:rsidR="0013236B" w:rsidRDefault="0013236B" w:rsidP="00A539C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p w14:paraId="1B1066F3" w14:textId="77777777" w:rsidR="0013236B" w:rsidRDefault="0013236B" w:rsidP="00A539CB">
      <w:pPr>
        <w:spacing w:after="0" w:line="240" w:lineRule="auto"/>
        <w:rPr>
          <w:rFonts w:ascii="Arial" w:hAnsi="Arial" w:cs="Arial"/>
          <w:sz w:val="20"/>
          <w:szCs w:val="20"/>
          <w:lang w:val="nl-BE"/>
        </w:rPr>
      </w:pPr>
    </w:p>
    <w:tbl>
      <w:tblPr>
        <w:tblW w:w="1319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4"/>
        <w:gridCol w:w="1279"/>
        <w:gridCol w:w="5385"/>
      </w:tblGrid>
      <w:tr w:rsidR="00AC668C" w:rsidRPr="00AC668C" w14:paraId="1B1066F7" w14:textId="77777777" w:rsidTr="00352981">
        <w:trPr>
          <w:trHeight w:val="231"/>
          <w:tblHeader/>
        </w:trPr>
        <w:tc>
          <w:tcPr>
            <w:tcW w:w="6534" w:type="dxa"/>
            <w:shd w:val="clear" w:color="auto" w:fill="A6A6A6" w:themeFill="background1" w:themeFillShade="A6"/>
            <w:vAlign w:val="center"/>
            <w:hideMark/>
          </w:tcPr>
          <w:p w14:paraId="1B1066F4" w14:textId="77777777" w:rsidR="00AC668C" w:rsidRPr="00AC668C" w:rsidRDefault="00AC668C" w:rsidP="00AC66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/>
              </w:rPr>
            </w:pPr>
          </w:p>
        </w:tc>
        <w:tc>
          <w:tcPr>
            <w:tcW w:w="1279" w:type="dxa"/>
            <w:shd w:val="clear" w:color="auto" w:fill="A6A6A6" w:themeFill="background1" w:themeFillShade="A6"/>
            <w:vAlign w:val="center"/>
            <w:hideMark/>
          </w:tcPr>
          <w:p w14:paraId="1B1066F5" w14:textId="77777777" w:rsidR="004D34D1" w:rsidRDefault="0040178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/>
              </w:rPr>
              <w:t>Bewering</w:t>
            </w:r>
            <w:r w:rsidR="0013236B">
              <w:t>*</w:t>
            </w:r>
          </w:p>
        </w:tc>
        <w:tc>
          <w:tcPr>
            <w:tcW w:w="5385" w:type="dxa"/>
            <w:shd w:val="clear" w:color="auto" w:fill="A6A6A6" w:themeFill="background1" w:themeFillShade="A6"/>
            <w:vAlign w:val="center"/>
            <w:hideMark/>
          </w:tcPr>
          <w:p w14:paraId="1B1066F6" w14:textId="77777777" w:rsidR="00AC668C" w:rsidRPr="00AC668C" w:rsidRDefault="00AC668C" w:rsidP="00AC668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/>
              </w:rPr>
            </w:pPr>
            <w:r w:rsidRPr="00AC66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/>
              </w:rPr>
              <w:t>Commentaar</w:t>
            </w:r>
          </w:p>
        </w:tc>
      </w:tr>
      <w:tr w:rsidR="00305BEC" w:rsidRPr="00C166EF" w14:paraId="1B1066F9" w14:textId="77777777" w:rsidTr="00786F8F">
        <w:trPr>
          <w:trHeight w:val="315"/>
        </w:trPr>
        <w:tc>
          <w:tcPr>
            <w:tcW w:w="13198" w:type="dxa"/>
            <w:gridSpan w:val="3"/>
            <w:shd w:val="clear" w:color="auto" w:fill="D9D9D9" w:themeFill="background1" w:themeFillShade="D9"/>
            <w:hideMark/>
          </w:tcPr>
          <w:p w14:paraId="1B1066F8" w14:textId="77777777" w:rsidR="00305BEC" w:rsidRPr="00C166EF" w:rsidRDefault="00305BEC" w:rsidP="00A539C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C166EF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/>
              </w:rPr>
              <w:t>BASISPROCEDURES</w:t>
            </w:r>
          </w:p>
        </w:tc>
      </w:tr>
      <w:tr w:rsidR="00C557B7" w:rsidRPr="00C166EF" w14:paraId="1B1066FD" w14:textId="77777777" w:rsidTr="00352981">
        <w:trPr>
          <w:trHeight w:val="361"/>
        </w:trPr>
        <w:tc>
          <w:tcPr>
            <w:tcW w:w="6534" w:type="dxa"/>
            <w:shd w:val="clear" w:color="auto" w:fill="D9D9D9" w:themeFill="background1" w:themeFillShade="D9"/>
          </w:tcPr>
          <w:p w14:paraId="1B1066FA" w14:textId="77777777" w:rsidR="00C557B7" w:rsidRPr="00351364" w:rsidRDefault="00C557B7" w:rsidP="00A539CB">
            <w:pPr>
              <w:pStyle w:val="ListParagraph"/>
              <w:numPr>
                <w:ilvl w:val="0"/>
                <w:numId w:val="21"/>
              </w:numPr>
              <w:tabs>
                <w:tab w:val="left" w:pos="6507"/>
              </w:tabs>
              <w:spacing w:before="60" w:after="60" w:line="240" w:lineRule="auto"/>
              <w:contextualSpacing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/>
              </w:rPr>
            </w:pPr>
            <w:r w:rsidRPr="00351364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/>
              </w:rPr>
              <w:t xml:space="preserve">Beleidslijnen en procedures </w:t>
            </w:r>
          </w:p>
        </w:tc>
        <w:tc>
          <w:tcPr>
            <w:tcW w:w="1279" w:type="dxa"/>
            <w:shd w:val="clear" w:color="auto" w:fill="auto"/>
          </w:tcPr>
          <w:p w14:paraId="1B1066FB" w14:textId="77777777" w:rsidR="00C557B7" w:rsidRPr="00C166EF" w:rsidRDefault="00401787" w:rsidP="0040178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VB</w:t>
            </w:r>
            <w:r w:rsidR="00C557B7"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A</w:t>
            </w:r>
          </w:p>
        </w:tc>
        <w:tc>
          <w:tcPr>
            <w:tcW w:w="5385" w:type="dxa"/>
            <w:shd w:val="clear" w:color="auto" w:fill="auto"/>
          </w:tcPr>
          <w:p w14:paraId="1B1066FC" w14:textId="77777777" w:rsidR="00C557B7" w:rsidRPr="00C166EF" w:rsidRDefault="00C557B7" w:rsidP="00A539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</w:tc>
      </w:tr>
      <w:tr w:rsidR="00AC668C" w:rsidRPr="00326C4F" w14:paraId="1B106702" w14:textId="77777777" w:rsidTr="00352981">
        <w:trPr>
          <w:trHeight w:val="758"/>
        </w:trPr>
        <w:tc>
          <w:tcPr>
            <w:tcW w:w="6534" w:type="dxa"/>
            <w:shd w:val="clear" w:color="auto" w:fill="auto"/>
            <w:hideMark/>
          </w:tcPr>
          <w:p w14:paraId="1B1066FE" w14:textId="77777777" w:rsidR="0013236B" w:rsidRPr="00C166EF" w:rsidRDefault="00AC668C" w:rsidP="00805A6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Beoordelen van de opzet en invoering van de beleidslijnen en procedures van de entiteit voor het onderkennen en boeken van transacties met een verbonden partij</w:t>
            </w:r>
            <w:r w:rsidR="00805A69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.</w:t>
            </w:r>
          </w:p>
          <w:p w14:paraId="1B1066FF" w14:textId="77777777" w:rsidR="00AC668C" w:rsidRPr="00C166EF" w:rsidRDefault="00AC668C" w:rsidP="00A539CB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/>
              </w:rPr>
            </w:pPr>
          </w:p>
        </w:tc>
        <w:tc>
          <w:tcPr>
            <w:tcW w:w="1279" w:type="dxa"/>
            <w:shd w:val="clear" w:color="auto" w:fill="auto"/>
            <w:hideMark/>
          </w:tcPr>
          <w:p w14:paraId="1B106700" w14:textId="77777777" w:rsidR="00AC668C" w:rsidRPr="00C166EF" w:rsidRDefault="00AC668C" w:rsidP="00A539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5385" w:type="dxa"/>
            <w:shd w:val="clear" w:color="auto" w:fill="auto"/>
            <w:hideMark/>
          </w:tcPr>
          <w:p w14:paraId="1B106701" w14:textId="77777777" w:rsidR="00AC668C" w:rsidRPr="00C166EF" w:rsidRDefault="00AC668C" w:rsidP="00A539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</w:tc>
      </w:tr>
      <w:tr w:rsidR="00C557B7" w:rsidRPr="00C166EF" w14:paraId="1B106706" w14:textId="77777777" w:rsidTr="00352981">
        <w:trPr>
          <w:trHeight w:val="313"/>
        </w:trPr>
        <w:tc>
          <w:tcPr>
            <w:tcW w:w="6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106703" w14:textId="77777777" w:rsidR="00C557B7" w:rsidRPr="00351364" w:rsidRDefault="00DA4EFB" w:rsidP="00DA4EFB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/>
              </w:rPr>
              <w:t>Verkrijgen</w:t>
            </w:r>
            <w:r w:rsidR="00C557B7" w:rsidRPr="00351364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/>
              </w:rPr>
              <w:t xml:space="preserve"> van inlichtingen bij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/>
              </w:rPr>
              <w:t>de leiding</w:t>
            </w:r>
          </w:p>
        </w:tc>
        <w:tc>
          <w:tcPr>
            <w:tcW w:w="1279" w:type="dxa"/>
            <w:shd w:val="clear" w:color="auto" w:fill="auto"/>
          </w:tcPr>
          <w:p w14:paraId="1B106704" w14:textId="77777777" w:rsidR="00C557B7" w:rsidRPr="00C166EF" w:rsidRDefault="00CF6CF6" w:rsidP="00CF6CF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V</w:t>
            </w:r>
            <w:r w:rsidR="00C557B7"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A</w:t>
            </w:r>
          </w:p>
        </w:tc>
        <w:tc>
          <w:tcPr>
            <w:tcW w:w="5385" w:type="dxa"/>
            <w:shd w:val="clear" w:color="auto" w:fill="auto"/>
          </w:tcPr>
          <w:p w14:paraId="1B106705" w14:textId="77777777" w:rsidR="00C557B7" w:rsidRPr="00C166EF" w:rsidRDefault="00C557B7" w:rsidP="00A539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</w:tc>
      </w:tr>
      <w:tr w:rsidR="00AC668C" w:rsidRPr="00C166EF" w14:paraId="1B106714" w14:textId="77777777" w:rsidTr="00352981">
        <w:trPr>
          <w:trHeight w:val="2452"/>
        </w:trPr>
        <w:tc>
          <w:tcPr>
            <w:tcW w:w="653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B106707" w14:textId="77777777" w:rsidR="00AC668C" w:rsidRPr="00C166EF" w:rsidRDefault="00DA4EFB" w:rsidP="00805A69">
            <w:pPr>
              <w:spacing w:before="60" w:after="60" w:line="240" w:lineRule="auto"/>
              <w:ind w:left="49" w:hanging="1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Verkrijgen</w:t>
            </w:r>
            <w:r w:rsidR="00AC668C"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van inlichtingen bij </w:t>
            </w:r>
            <w:r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de</w:t>
            </w:r>
            <w:r w:rsidR="00AC668C"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leiding</w:t>
            </w:r>
            <w:r w:rsidR="00AC668C"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met betrekking tot:</w:t>
            </w:r>
          </w:p>
          <w:p w14:paraId="1B106708" w14:textId="77777777" w:rsidR="00AC668C" w:rsidRPr="00C166EF" w:rsidRDefault="00AC668C" w:rsidP="00805A69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het bestaan van verbonden partijen en transacties (verschillend van degene die reeds werden onderkend);</w:t>
            </w:r>
          </w:p>
          <w:p w14:paraId="1B106709" w14:textId="77777777" w:rsidR="00AC668C" w:rsidRPr="00C166EF" w:rsidRDefault="00AC668C" w:rsidP="00805A69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de </w:t>
            </w:r>
            <w:r w:rsidR="0051640A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banden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van bestuurders en directeurs </w:t>
            </w:r>
            <w:r w:rsidR="0051640A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met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andere entiteiten die verbonden partijen zouden kunnen zijn;</w:t>
            </w:r>
          </w:p>
          <w:p w14:paraId="1B10670A" w14:textId="77777777" w:rsidR="004D34D1" w:rsidRDefault="00D765D4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de namen van alle verbonden partijen: de tabel met betrekking tot de transacties tussen verbonden partijen bespreken met de bestuurders en de hiermee verbonden personen en bevestiging verkrijgen dat er geen andere transacties dienen opgenomen.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B10670B" w14:textId="77777777" w:rsidR="00AC668C" w:rsidRPr="00351364" w:rsidRDefault="00AC668C" w:rsidP="00A539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  <w:p w14:paraId="1B10670C" w14:textId="77777777" w:rsidR="00AC668C" w:rsidRPr="00351364" w:rsidRDefault="006B637F" w:rsidP="00A539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B</w:t>
            </w:r>
          </w:p>
          <w:p w14:paraId="1B10670D" w14:textId="77777777" w:rsidR="00AC668C" w:rsidRPr="00351364" w:rsidRDefault="00AC668C" w:rsidP="00A539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  <w:p w14:paraId="1B10670E" w14:textId="77777777" w:rsidR="00AC668C" w:rsidRPr="00351364" w:rsidRDefault="00AC668C" w:rsidP="00A539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  <w:p w14:paraId="1B10670F" w14:textId="77777777" w:rsidR="00AC668C" w:rsidRDefault="00AC668C" w:rsidP="00A539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  <w:p w14:paraId="1B106710" w14:textId="77777777" w:rsidR="00AC668C" w:rsidRPr="00351364" w:rsidRDefault="00805A69" w:rsidP="00A539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B</w:t>
            </w:r>
          </w:p>
          <w:p w14:paraId="1B106711" w14:textId="77777777" w:rsidR="00AC668C" w:rsidRPr="00351364" w:rsidRDefault="00AC668C" w:rsidP="00A539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  <w:p w14:paraId="1B106712" w14:textId="77777777" w:rsidR="00AC668C" w:rsidRPr="00351364" w:rsidRDefault="00805A69" w:rsidP="00805A6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B</w:t>
            </w:r>
          </w:p>
        </w:tc>
        <w:tc>
          <w:tcPr>
            <w:tcW w:w="5385" w:type="dxa"/>
            <w:vAlign w:val="center"/>
            <w:hideMark/>
          </w:tcPr>
          <w:p w14:paraId="1B106713" w14:textId="77777777" w:rsidR="00AC668C" w:rsidRPr="00351364" w:rsidRDefault="00AC668C" w:rsidP="00A539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</w:tc>
      </w:tr>
      <w:tr w:rsidR="00C557B7" w:rsidRPr="00C166EF" w14:paraId="1B106718" w14:textId="77777777" w:rsidTr="00352981">
        <w:trPr>
          <w:trHeight w:val="386"/>
        </w:trPr>
        <w:tc>
          <w:tcPr>
            <w:tcW w:w="65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B106715" w14:textId="77777777" w:rsidR="00C557B7" w:rsidRPr="00351364" w:rsidRDefault="00C557B7" w:rsidP="00805A69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351364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/>
              </w:rPr>
              <w:t>Andere auditors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14:paraId="1B106716" w14:textId="77777777" w:rsidR="00C557B7" w:rsidRPr="00C166EF" w:rsidRDefault="00805A69" w:rsidP="00805A6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VB</w:t>
            </w:r>
            <w:r w:rsidR="00C557B7"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A</w:t>
            </w:r>
          </w:p>
        </w:tc>
        <w:tc>
          <w:tcPr>
            <w:tcW w:w="5385" w:type="dxa"/>
            <w:vAlign w:val="center"/>
          </w:tcPr>
          <w:p w14:paraId="1B106717" w14:textId="77777777" w:rsidR="00C557B7" w:rsidRPr="00C166EF" w:rsidRDefault="00C557B7" w:rsidP="00A539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</w:tc>
      </w:tr>
      <w:tr w:rsidR="00AC668C" w:rsidRPr="00326C4F" w14:paraId="1B10671C" w14:textId="77777777" w:rsidTr="00352981">
        <w:trPr>
          <w:trHeight w:val="555"/>
        </w:trPr>
        <w:tc>
          <w:tcPr>
            <w:tcW w:w="6534" w:type="dxa"/>
            <w:shd w:val="clear" w:color="auto" w:fill="auto"/>
            <w:hideMark/>
          </w:tcPr>
          <w:p w14:paraId="1B106719" w14:textId="77777777" w:rsidR="00AC668C" w:rsidRPr="00C166EF" w:rsidRDefault="000044AA" w:rsidP="000044AA">
            <w:pPr>
              <w:spacing w:before="60" w:after="60" w:line="240" w:lineRule="auto"/>
              <w:ind w:firstLineChars="24" w:firstLine="48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0044AA">
              <w:rPr>
                <w:rFonts w:ascii="Arial" w:eastAsia="Times New Roman" w:hAnsi="Arial" w:cs="Arial"/>
                <w:sz w:val="20"/>
                <w:szCs w:val="20"/>
                <w:lang w:val="nl-BE"/>
              </w:rPr>
              <w:lastRenderedPageBreak/>
              <w:t>Verkr</w:t>
            </w:r>
            <w:r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i</w:t>
            </w:r>
            <w:r w:rsidRPr="000044AA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jgen</w:t>
            </w:r>
            <w:r w:rsidR="00AC668C"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van inlichtingen bij andere auditors betrokken bij de audit (of hun voorganger) met betrekking tot hun kennis van </w:t>
            </w:r>
            <w:r w:rsidR="00805A69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de </w:t>
            </w:r>
            <w:r w:rsidR="00AC668C"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verbonden partijen</w:t>
            </w:r>
            <w:r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(met inbegrip van de aard van de transacties)</w:t>
            </w:r>
            <w:r w:rsidR="00AC668C"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.</w:t>
            </w:r>
          </w:p>
        </w:tc>
        <w:tc>
          <w:tcPr>
            <w:tcW w:w="1279" w:type="dxa"/>
            <w:vAlign w:val="center"/>
            <w:hideMark/>
          </w:tcPr>
          <w:p w14:paraId="1B10671A" w14:textId="77777777" w:rsidR="00AC668C" w:rsidRPr="00C166EF" w:rsidRDefault="00AC668C" w:rsidP="00A539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5385" w:type="dxa"/>
            <w:vAlign w:val="center"/>
            <w:hideMark/>
          </w:tcPr>
          <w:p w14:paraId="1B10671B" w14:textId="77777777" w:rsidR="00AC668C" w:rsidRPr="00C166EF" w:rsidRDefault="00AC668C" w:rsidP="00A539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</w:tc>
      </w:tr>
      <w:tr w:rsidR="00371F1A" w:rsidRPr="00C166EF" w14:paraId="1B106720" w14:textId="77777777" w:rsidTr="00352981">
        <w:trPr>
          <w:trHeight w:val="374"/>
        </w:trPr>
        <w:tc>
          <w:tcPr>
            <w:tcW w:w="653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B10671D" w14:textId="77777777" w:rsidR="00371F1A" w:rsidRPr="00A539CB" w:rsidRDefault="00371F1A" w:rsidP="00805A69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A539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/>
              </w:rPr>
              <w:t>Identificatie van verbonden partijen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1B10671E" w14:textId="77777777" w:rsidR="00371F1A" w:rsidRPr="00C166EF" w:rsidRDefault="00805A69" w:rsidP="00805A6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B</w:t>
            </w:r>
            <w:r w:rsidR="00371F1A"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A</w:t>
            </w:r>
          </w:p>
        </w:tc>
        <w:tc>
          <w:tcPr>
            <w:tcW w:w="5385" w:type="dxa"/>
            <w:tcBorders>
              <w:bottom w:val="single" w:sz="4" w:space="0" w:color="auto"/>
            </w:tcBorders>
            <w:vAlign w:val="center"/>
          </w:tcPr>
          <w:p w14:paraId="1B10671F" w14:textId="77777777" w:rsidR="00371F1A" w:rsidRPr="00C166EF" w:rsidRDefault="00371F1A" w:rsidP="00A539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</w:tc>
      </w:tr>
      <w:tr w:rsidR="00AC668C" w:rsidRPr="00326C4F" w14:paraId="1B106731" w14:textId="77777777" w:rsidTr="00352981">
        <w:trPr>
          <w:trHeight w:val="7776"/>
        </w:trPr>
        <w:tc>
          <w:tcPr>
            <w:tcW w:w="6534" w:type="dxa"/>
            <w:vMerge w:val="restart"/>
            <w:shd w:val="clear" w:color="auto" w:fill="auto"/>
            <w:hideMark/>
          </w:tcPr>
          <w:p w14:paraId="1B106721" w14:textId="77777777" w:rsidR="007D2988" w:rsidRDefault="007D2988" w:rsidP="00805A6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  <w:p w14:paraId="1B106722" w14:textId="77777777" w:rsidR="00AC668C" w:rsidRPr="00C166EF" w:rsidRDefault="00AC668C" w:rsidP="00805A69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Beoordeling van de hierna volgende aspecten om het bestaan van verbonden partijen en </w:t>
            </w:r>
            <w:r w:rsidR="00805A69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de 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transacties </w:t>
            </w:r>
            <w:r w:rsidR="0051640A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met</w:t>
            </w:r>
            <w:r w:rsidR="00805A69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deze 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verbonden partijen aan te tonen:</w:t>
            </w:r>
          </w:p>
          <w:p w14:paraId="1B106723" w14:textId="77777777" w:rsidR="00AC668C" w:rsidRPr="00C166EF" w:rsidRDefault="00AC668C" w:rsidP="00805A69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ind w:left="474" w:hanging="283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relevante we</w:t>
            </w:r>
            <w:r w:rsidR="00805A69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t- en regel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geving</w:t>
            </w:r>
            <w:r w:rsidR="00805A69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;</w:t>
            </w:r>
          </w:p>
          <w:p w14:paraId="1B106724" w14:textId="77777777" w:rsidR="00AC668C" w:rsidRPr="00C166EF" w:rsidRDefault="00AC668C" w:rsidP="00805A69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ind w:left="474" w:hanging="283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aandeelhoudersregister, notulen van de </w:t>
            </w:r>
            <w:r w:rsidR="0051640A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a</w:t>
            </w:r>
            <w:r w:rsidR="00891392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lgemene </w:t>
            </w:r>
            <w:r w:rsidR="0051640A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v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ergaderingen </w:t>
            </w:r>
            <w:r w:rsidR="00891392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en van de vergaderingen van de raad van bestuur</w:t>
            </w:r>
            <w:r w:rsidR="00F85D3A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;</w:t>
            </w:r>
          </w:p>
          <w:p w14:paraId="1B106725" w14:textId="77777777" w:rsidR="00AC668C" w:rsidRPr="00C166EF" w:rsidRDefault="0051640A" w:rsidP="00805A69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ind w:left="474" w:hanging="283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ereloonstaten</w:t>
            </w:r>
            <w:r w:rsidR="00AC668C"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en briefwisseling van advocaten</w:t>
            </w:r>
            <w:r w:rsidR="00E50286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;</w:t>
            </w:r>
          </w:p>
          <w:p w14:paraId="1B106726" w14:textId="77777777" w:rsidR="00AC668C" w:rsidRPr="00351364" w:rsidRDefault="00A853CE" w:rsidP="00805A69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ind w:left="474" w:hanging="283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investeringen</w:t>
            </w:r>
            <w:r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</w:t>
            </w:r>
            <w:r w:rsidR="00AC668C"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tijdens </w:t>
            </w:r>
            <w:r w:rsidR="005B3EE6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het boekjaar</w:t>
            </w:r>
            <w:r w:rsidR="00AC668C"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: beoordeling van </w:t>
            </w:r>
            <w:r w:rsidR="00A210ED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belangrijke</w:t>
            </w:r>
            <w:r w:rsidR="00AC668C"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</w:t>
            </w:r>
            <w:r w:rsidR="0051640A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aanschaffingen</w:t>
            </w:r>
            <w:r w:rsidR="00AC668C"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en</w:t>
            </w:r>
            <w:r w:rsidR="00A210ED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</w:t>
            </w:r>
            <w:r w:rsidR="0051640A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overdrachten</w:t>
            </w:r>
            <w:r w:rsidR="00AC668C"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van </w:t>
            </w:r>
            <w:r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participaties</w:t>
            </w:r>
            <w:r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</w:t>
            </w:r>
            <w:r w:rsidR="00AC668C"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tijdens </w:t>
            </w:r>
            <w:r w:rsidR="00A210ED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het gecontroleerd</w:t>
            </w:r>
            <w:r w:rsidR="00A70B77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e</w:t>
            </w:r>
            <w:r w:rsidR="00A210ED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boekjaar </w:t>
            </w:r>
            <w:r w:rsidR="00AC668C"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om te bepalen of dergelijke </w:t>
            </w:r>
            <w:r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investeringen</w:t>
            </w:r>
            <w:r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</w:t>
            </w:r>
            <w:r w:rsidR="00E50286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op grond van hun aard en omvang kunnen worden beschouwd als transacties tussen </w:t>
            </w:r>
            <w:r w:rsidR="00AC668C"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verbonden partijen</w:t>
            </w:r>
            <w:r w:rsidR="00E50286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;</w:t>
            </w:r>
          </w:p>
          <w:p w14:paraId="1B106727" w14:textId="77777777" w:rsidR="00AC668C" w:rsidRDefault="00A70B77" w:rsidP="00E50286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ind w:leftChars="86" w:left="471" w:hangingChars="141" w:hanging="282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notulen van </w:t>
            </w:r>
            <w:r w:rsidR="00AC668C" w:rsidRPr="00A539CB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vergaderingen</w:t>
            </w:r>
            <w:r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van andere organen of comités van de entiteit</w:t>
            </w:r>
            <w:r w:rsidR="00E50286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;</w:t>
            </w:r>
          </w:p>
          <w:p w14:paraId="1B106728" w14:textId="77777777" w:rsidR="00AC668C" w:rsidRPr="00744290" w:rsidRDefault="00E50286" w:rsidP="00744290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ind w:leftChars="86" w:left="471" w:hangingChars="141" w:hanging="282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pensioenregelingen en andere sociale voordelen van bestuurders en directeurs;</w:t>
            </w:r>
          </w:p>
          <w:p w14:paraId="1B106729" w14:textId="77777777" w:rsidR="00AC668C" w:rsidRDefault="00AC668C" w:rsidP="00E50286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ind w:leftChars="86" w:left="471" w:hangingChars="141" w:hanging="282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contracten en andere overeenkomsten</w:t>
            </w:r>
            <w:r w:rsidR="00E50286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;</w:t>
            </w:r>
          </w:p>
          <w:p w14:paraId="1B10672A" w14:textId="77777777" w:rsidR="00AC668C" w:rsidRDefault="00AC668C" w:rsidP="00E50286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ind w:leftChars="86" w:left="471" w:hangingChars="141" w:hanging="282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bank- of andere garanties</w:t>
            </w:r>
            <w:r w:rsidR="00654449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, alsook </w:t>
            </w:r>
            <w:r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bankbevestigingen</w:t>
            </w:r>
            <w:r w:rsidR="00654449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;</w:t>
            </w:r>
          </w:p>
          <w:p w14:paraId="1B10672B" w14:textId="77777777" w:rsidR="00AC668C" w:rsidRDefault="00AC668C" w:rsidP="00E50286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ind w:leftChars="86" w:left="471" w:hangingChars="141" w:hanging="282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werkdocumenten van vo</w:t>
            </w:r>
            <w:r w:rsidR="0051640A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rige</w:t>
            </w:r>
            <w:r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boekjaar met betrekking tot de namen van gekende verbonden partijen</w:t>
            </w:r>
            <w:r w:rsidR="00654449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;</w:t>
            </w:r>
          </w:p>
          <w:p w14:paraId="1B10672C" w14:textId="77777777" w:rsidR="00AC668C" w:rsidRDefault="00AC668C" w:rsidP="00E50286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ind w:leftChars="86" w:left="471" w:hangingChars="141" w:hanging="282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de omvang en</w:t>
            </w:r>
            <w:r w:rsidR="0051640A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de</w:t>
            </w:r>
            <w:r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aard van </w:t>
            </w:r>
            <w:r w:rsidR="00654449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de activiteiten van de </w:t>
            </w:r>
            <w:r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entiteit verricht met belangrijke klanten, leveranciers, kredietnemers en uitleners </w:t>
            </w:r>
            <w:r w:rsidR="009407B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om</w:t>
            </w:r>
            <w:r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eerder niet vermelde </w:t>
            </w:r>
            <w:r w:rsidR="00654449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relaties</w:t>
            </w:r>
            <w:r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</w:t>
            </w:r>
            <w:r w:rsidR="009407B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te bepalen met mogelijk nieuwe verbonden partijen</w:t>
            </w:r>
            <w:r w:rsidR="00654449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;</w:t>
            </w:r>
          </w:p>
          <w:p w14:paraId="1B10672D" w14:textId="77777777" w:rsidR="00AC668C" w:rsidRDefault="009407BF" w:rsidP="009407BF">
            <w:pPr>
              <w:pStyle w:val="ListParagraph"/>
              <w:numPr>
                <w:ilvl w:val="0"/>
                <w:numId w:val="20"/>
              </w:numPr>
              <w:spacing w:before="60" w:after="60" w:line="240" w:lineRule="auto"/>
              <w:ind w:leftChars="86" w:left="471" w:hangingChars="141" w:hanging="282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overige</w:t>
            </w:r>
            <w:r w:rsidR="00AC668C"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beschikbare bronnen, met inbegrip van externe gegevens en inter</w:t>
            </w:r>
            <w:r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netopzoekingen ter opspor</w:t>
            </w:r>
            <w:r w:rsidR="0051640A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ing </w:t>
            </w:r>
            <w:r w:rsidR="00AC668C"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van de namen van verbonden partijen en andere </w:t>
            </w:r>
            <w:r w:rsidR="00D636A2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entiteiten</w:t>
            </w:r>
            <w:r w:rsidR="00AC668C"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waarin bestuurders eigendomsbelangen hebben of een directeurs- of bestuursfunctie bekleden.</w:t>
            </w:r>
          </w:p>
          <w:p w14:paraId="1B10672E" w14:textId="77777777" w:rsidR="004D34D1" w:rsidRDefault="004D34D1">
            <w:pPr>
              <w:spacing w:before="60" w:after="60" w:line="240" w:lineRule="auto"/>
              <w:ind w:left="499" w:hanging="310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279" w:type="dxa"/>
            <w:tcBorders>
              <w:bottom w:val="nil"/>
            </w:tcBorders>
            <w:vAlign w:val="center"/>
            <w:hideMark/>
          </w:tcPr>
          <w:p w14:paraId="1B10672F" w14:textId="77777777" w:rsidR="00AC668C" w:rsidRPr="00351364" w:rsidRDefault="00AC668C" w:rsidP="00A539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5385" w:type="dxa"/>
            <w:tcBorders>
              <w:bottom w:val="nil"/>
            </w:tcBorders>
            <w:vAlign w:val="center"/>
            <w:hideMark/>
          </w:tcPr>
          <w:p w14:paraId="1B106730" w14:textId="77777777" w:rsidR="00AC668C" w:rsidRPr="00351364" w:rsidRDefault="00AC668C" w:rsidP="00A539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</w:tc>
      </w:tr>
      <w:tr w:rsidR="007D2988" w:rsidRPr="00326C4F" w14:paraId="1B106735" w14:textId="77777777" w:rsidTr="0051640A">
        <w:trPr>
          <w:trHeight w:val="207"/>
        </w:trPr>
        <w:tc>
          <w:tcPr>
            <w:tcW w:w="65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6732" w14:textId="77777777" w:rsidR="007D2988" w:rsidRPr="00A539CB" w:rsidRDefault="007D2988" w:rsidP="00AA007B">
            <w:pPr>
              <w:spacing w:before="60" w:after="60" w:line="240" w:lineRule="auto"/>
              <w:ind w:firstLineChars="400" w:firstLine="800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6733" w14:textId="77777777" w:rsidR="007D2988" w:rsidRPr="00A539CB" w:rsidRDefault="007D2988" w:rsidP="00A539C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5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06734" w14:textId="77777777" w:rsidR="007D2988" w:rsidRPr="00A539CB" w:rsidRDefault="007D2988" w:rsidP="00A539CB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</w:tc>
      </w:tr>
    </w:tbl>
    <w:p w14:paraId="1B106736" w14:textId="77777777" w:rsidR="0051640A" w:rsidRPr="006B637F" w:rsidRDefault="0051640A">
      <w:pPr>
        <w:rPr>
          <w:lang w:val="nl-BE"/>
        </w:rPr>
      </w:pPr>
      <w:r w:rsidRPr="006B637F">
        <w:rPr>
          <w:lang w:val="nl-BE"/>
        </w:rPr>
        <w:br w:type="page"/>
      </w:r>
    </w:p>
    <w:tbl>
      <w:tblPr>
        <w:tblW w:w="1319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4"/>
        <w:gridCol w:w="1279"/>
        <w:gridCol w:w="5385"/>
      </w:tblGrid>
      <w:tr w:rsidR="0051640A" w:rsidRPr="00AC668C" w14:paraId="1B10673A" w14:textId="77777777" w:rsidTr="0051640A">
        <w:trPr>
          <w:trHeight w:val="231"/>
          <w:tblHeader/>
        </w:trPr>
        <w:tc>
          <w:tcPr>
            <w:tcW w:w="6534" w:type="dxa"/>
            <w:shd w:val="clear" w:color="auto" w:fill="A6A6A6" w:themeFill="background1" w:themeFillShade="A6"/>
            <w:vAlign w:val="center"/>
            <w:hideMark/>
          </w:tcPr>
          <w:p w14:paraId="1B106737" w14:textId="77777777" w:rsidR="0051640A" w:rsidRPr="00AC668C" w:rsidRDefault="0051640A" w:rsidP="0051640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/>
              </w:rPr>
            </w:pPr>
          </w:p>
        </w:tc>
        <w:tc>
          <w:tcPr>
            <w:tcW w:w="1279" w:type="dxa"/>
            <w:shd w:val="clear" w:color="auto" w:fill="A6A6A6" w:themeFill="background1" w:themeFillShade="A6"/>
            <w:vAlign w:val="center"/>
            <w:hideMark/>
          </w:tcPr>
          <w:p w14:paraId="1B106738" w14:textId="77777777" w:rsidR="0051640A" w:rsidRDefault="0051640A" w:rsidP="0051640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/>
              </w:rPr>
              <w:t>Bewering</w:t>
            </w:r>
            <w:r>
              <w:t>*</w:t>
            </w:r>
          </w:p>
        </w:tc>
        <w:tc>
          <w:tcPr>
            <w:tcW w:w="5385" w:type="dxa"/>
            <w:shd w:val="clear" w:color="auto" w:fill="A6A6A6" w:themeFill="background1" w:themeFillShade="A6"/>
            <w:vAlign w:val="center"/>
            <w:hideMark/>
          </w:tcPr>
          <w:p w14:paraId="1B106739" w14:textId="77777777" w:rsidR="0051640A" w:rsidRPr="00AC668C" w:rsidRDefault="0051640A" w:rsidP="0051640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/>
              </w:rPr>
            </w:pPr>
            <w:r w:rsidRPr="00AC66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/>
              </w:rPr>
              <w:t>Commentaar</w:t>
            </w:r>
          </w:p>
        </w:tc>
      </w:tr>
      <w:tr w:rsidR="00371F1A" w:rsidRPr="00C166EF" w14:paraId="1B10673E" w14:textId="77777777" w:rsidTr="00352981">
        <w:trPr>
          <w:trHeight w:val="291"/>
        </w:trPr>
        <w:tc>
          <w:tcPr>
            <w:tcW w:w="653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B10673B" w14:textId="77777777" w:rsidR="00371F1A" w:rsidRPr="00C166EF" w:rsidRDefault="00371F1A" w:rsidP="00200E46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ind w:left="474" w:hanging="425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/>
              </w:rPr>
            </w:pPr>
            <w:r w:rsidRPr="00C166EF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/>
              </w:rPr>
              <w:t>Niet</w:t>
            </w:r>
            <w:r w:rsidR="00200E46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/>
              </w:rPr>
              <w:t>-</w:t>
            </w:r>
            <w:r w:rsidRPr="00C166EF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/>
              </w:rPr>
              <w:t>geïdentificeerde transacties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auto"/>
          </w:tcPr>
          <w:p w14:paraId="1B10673C" w14:textId="77777777" w:rsidR="00371F1A" w:rsidRPr="00C166EF" w:rsidRDefault="00306B05" w:rsidP="00A539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B</w:t>
            </w:r>
            <w:r w:rsidR="00371F1A"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A</w:t>
            </w:r>
          </w:p>
        </w:tc>
        <w:tc>
          <w:tcPr>
            <w:tcW w:w="5385" w:type="dxa"/>
            <w:tcBorders>
              <w:top w:val="single" w:sz="4" w:space="0" w:color="auto"/>
            </w:tcBorders>
            <w:shd w:val="clear" w:color="auto" w:fill="auto"/>
          </w:tcPr>
          <w:p w14:paraId="1B10673D" w14:textId="77777777" w:rsidR="00371F1A" w:rsidRPr="00C166EF" w:rsidRDefault="00371F1A" w:rsidP="00A539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</w:tc>
      </w:tr>
      <w:tr w:rsidR="00AC668C" w:rsidRPr="00326C4F" w14:paraId="1B106749" w14:textId="77777777" w:rsidTr="00352981">
        <w:trPr>
          <w:trHeight w:val="291"/>
        </w:trPr>
        <w:tc>
          <w:tcPr>
            <w:tcW w:w="6534" w:type="dxa"/>
            <w:shd w:val="clear" w:color="auto" w:fill="FFFFFF" w:themeFill="background1"/>
          </w:tcPr>
          <w:p w14:paraId="1B10673F" w14:textId="77777777" w:rsidR="00AC668C" w:rsidRPr="00C166EF" w:rsidRDefault="00AC668C" w:rsidP="00200E4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Overwegen of er </w:t>
            </w:r>
            <w:r w:rsidR="0051640A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in de toelichting van de jaarrekening 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niet</w:t>
            </w:r>
            <w:r w:rsidR="00200E46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-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gemelde transacties met verbonden partijen zijn ten gevolge van:</w:t>
            </w:r>
          </w:p>
          <w:p w14:paraId="1B106740" w14:textId="77777777" w:rsidR="00AC668C" w:rsidRPr="00532A46" w:rsidRDefault="00AC668C" w:rsidP="00200E46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ind w:left="474" w:hanging="283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532A46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abnormale handelsvoorwaarden zoals ongewone prijzen, intrestvoeten, waarborgen en aflossings</w:t>
            </w:r>
            <w:r w:rsidR="0051640A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termijnen</w:t>
            </w:r>
            <w:r w:rsidR="00200E46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;</w:t>
            </w:r>
          </w:p>
          <w:p w14:paraId="1B106741" w14:textId="77777777" w:rsidR="00AC668C" w:rsidRPr="00532A46" w:rsidRDefault="000945FC" w:rsidP="00200E46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ind w:left="474" w:hanging="283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het </w:t>
            </w:r>
            <w:r w:rsidR="00B55369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vastleggen van </w:t>
            </w:r>
            <w:r w:rsidR="00AC668C" w:rsidRPr="00532A46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ongebruikelijke </w:t>
            </w:r>
            <w:r w:rsidR="0051640A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of ongewone </w:t>
            </w:r>
            <w:r w:rsidR="00AC668C" w:rsidRPr="00532A46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transacties (</w:t>
            </w:r>
            <w:r w:rsidR="00D20CAB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in </w:t>
            </w:r>
            <w:r w:rsidR="00AC668C" w:rsidRPr="00532A46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aard </w:t>
            </w:r>
            <w:r w:rsidR="00B55369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en</w:t>
            </w:r>
            <w:r w:rsidR="00AC668C" w:rsidRPr="00532A46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omvang)</w:t>
            </w:r>
            <w:r w:rsidR="00D20CAB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,</w:t>
            </w:r>
            <w:r w:rsidR="00AC668C" w:rsidRPr="00532A46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in het bijzonder deze:</w:t>
            </w:r>
          </w:p>
          <w:p w14:paraId="1B106742" w14:textId="77777777" w:rsidR="004D34D1" w:rsidRDefault="00D765D4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58" w:hanging="284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D765D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toegekend op of nabij balansdatum;</w:t>
            </w:r>
          </w:p>
          <w:p w14:paraId="1B106743" w14:textId="77777777" w:rsidR="004D34D1" w:rsidRDefault="00D765D4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58" w:hanging="284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D765D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verricht met onbekende ondernemingen;</w:t>
            </w:r>
          </w:p>
          <w:p w14:paraId="1B106744" w14:textId="77777777" w:rsidR="004D34D1" w:rsidRDefault="00D765D4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758" w:hanging="284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D765D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zonder een blijkbaar logische reden voor hun bestaan;</w:t>
            </w:r>
          </w:p>
          <w:p w14:paraId="1B106745" w14:textId="77777777" w:rsidR="00AC668C" w:rsidRPr="00532A46" w:rsidRDefault="00AC668C" w:rsidP="00200E46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ind w:left="474" w:hanging="283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532A46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transacties waarvan de inhoud verschilt van de vorm</w:t>
            </w:r>
            <w:r w:rsidR="0051640A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(</w:t>
            </w:r>
            <w:r w:rsidR="0051640A" w:rsidRPr="0051640A">
              <w:rPr>
                <w:rFonts w:ascii="Arial" w:eastAsia="Times New Roman" w:hAnsi="Arial" w:cs="Arial"/>
                <w:i/>
                <w:sz w:val="20"/>
                <w:szCs w:val="20"/>
                <w:lang w:val="nl-BE"/>
              </w:rPr>
              <w:t>substance over form)</w:t>
            </w:r>
            <w:r w:rsidR="00D12893" w:rsidRPr="0051640A">
              <w:rPr>
                <w:rFonts w:ascii="Arial" w:eastAsia="Times New Roman" w:hAnsi="Arial" w:cs="Arial"/>
                <w:i/>
                <w:sz w:val="20"/>
                <w:szCs w:val="20"/>
                <w:lang w:val="nl-BE"/>
              </w:rPr>
              <w:t>;</w:t>
            </w:r>
          </w:p>
          <w:p w14:paraId="1B106746" w14:textId="77777777" w:rsidR="00AC668C" w:rsidRPr="00C166EF" w:rsidRDefault="00D20CAB" w:rsidP="00F374D4">
            <w:pPr>
              <w:pStyle w:val="ListParagraph"/>
              <w:spacing w:before="60" w:after="60" w:line="240" w:lineRule="auto"/>
              <w:ind w:left="474" w:hanging="283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d) </w:t>
            </w:r>
            <w:r w:rsidR="003C54DD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transacties die </w:t>
            </w:r>
            <w:r w:rsidR="00AC668C" w:rsidRPr="00532A46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resulteren in ongunstige</w:t>
            </w:r>
            <w:r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gevolgen.</w:t>
            </w:r>
          </w:p>
        </w:tc>
        <w:tc>
          <w:tcPr>
            <w:tcW w:w="1279" w:type="dxa"/>
            <w:shd w:val="clear" w:color="auto" w:fill="FFFFFF" w:themeFill="background1"/>
          </w:tcPr>
          <w:p w14:paraId="1B106747" w14:textId="77777777" w:rsidR="00AC668C" w:rsidRPr="00C166EF" w:rsidRDefault="00AC668C" w:rsidP="00A539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5385" w:type="dxa"/>
            <w:shd w:val="clear" w:color="auto" w:fill="FFFFFF" w:themeFill="background1"/>
          </w:tcPr>
          <w:p w14:paraId="1B106748" w14:textId="77777777" w:rsidR="00AC668C" w:rsidRPr="00C166EF" w:rsidRDefault="00AC668C" w:rsidP="00A539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</w:tc>
      </w:tr>
      <w:tr w:rsidR="00371F1A" w:rsidRPr="00C166EF" w14:paraId="1B10674D" w14:textId="77777777" w:rsidTr="00352981">
        <w:trPr>
          <w:trHeight w:val="416"/>
        </w:trPr>
        <w:tc>
          <w:tcPr>
            <w:tcW w:w="6534" w:type="dxa"/>
            <w:shd w:val="clear" w:color="auto" w:fill="BFBFBF" w:themeFill="background1" w:themeFillShade="BF"/>
          </w:tcPr>
          <w:p w14:paraId="1B10674A" w14:textId="77777777" w:rsidR="00371F1A" w:rsidRPr="00A539CB" w:rsidRDefault="00371F1A" w:rsidP="002D70E3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A539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/>
              </w:rPr>
              <w:t>Niet-geregistreerde transacties</w:t>
            </w:r>
          </w:p>
        </w:tc>
        <w:tc>
          <w:tcPr>
            <w:tcW w:w="1279" w:type="dxa"/>
            <w:vAlign w:val="center"/>
          </w:tcPr>
          <w:p w14:paraId="1B10674B" w14:textId="77777777" w:rsidR="00371F1A" w:rsidRPr="00C166EF" w:rsidRDefault="00371F1A" w:rsidP="00A539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5385" w:type="dxa"/>
            <w:vAlign w:val="center"/>
          </w:tcPr>
          <w:p w14:paraId="1B10674C" w14:textId="77777777" w:rsidR="00371F1A" w:rsidRPr="00C166EF" w:rsidRDefault="00371F1A" w:rsidP="00A539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</w:tc>
      </w:tr>
      <w:tr w:rsidR="00AC668C" w:rsidRPr="00326C4F" w14:paraId="1B106754" w14:textId="77777777" w:rsidTr="00352981">
        <w:trPr>
          <w:trHeight w:val="758"/>
        </w:trPr>
        <w:tc>
          <w:tcPr>
            <w:tcW w:w="6534" w:type="dxa"/>
            <w:shd w:val="clear" w:color="auto" w:fill="auto"/>
            <w:hideMark/>
          </w:tcPr>
          <w:p w14:paraId="1B10674E" w14:textId="77777777" w:rsidR="00AC668C" w:rsidRPr="00C166EF" w:rsidRDefault="00755FE1" w:rsidP="002D70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755FE1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Verkrijgen</w:t>
            </w:r>
            <w:r w:rsidR="00AC668C"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van inlichtingen bij </w:t>
            </w:r>
            <w:r w:rsidR="00AC668C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het </w:t>
            </w:r>
            <w:r w:rsidR="00AC668C"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personeel met betrekking tot het feit of zij kennis hebben van:</w:t>
            </w:r>
          </w:p>
          <w:p w14:paraId="1B10674F" w14:textId="77777777" w:rsidR="004D34D1" w:rsidRDefault="00AC668C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333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(nog niet geïdentificeerde) transacties of overeenkomsten met verbonden partijen</w:t>
            </w:r>
            <w:r w:rsidR="00AD3A8D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;</w:t>
            </w:r>
          </w:p>
          <w:p w14:paraId="1B106750" w14:textId="77777777" w:rsidR="004D34D1" w:rsidRDefault="00D765D4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333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D765D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betalingen (smeergeld) of niet-openbaar gemaakte voorkeursvoorwaarden;</w:t>
            </w:r>
          </w:p>
          <w:p w14:paraId="1B106751" w14:textId="77777777" w:rsidR="004D34D1" w:rsidRDefault="00D765D4" w:rsidP="00F374D4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ind w:left="333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D765D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niet-geregistreerde transacties of bedragen.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  <w:hideMark/>
          </w:tcPr>
          <w:p w14:paraId="1B106752" w14:textId="77777777" w:rsidR="00AC668C" w:rsidRPr="00C166EF" w:rsidRDefault="00AC668C" w:rsidP="00A539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5385" w:type="dxa"/>
            <w:vAlign w:val="center"/>
            <w:hideMark/>
          </w:tcPr>
          <w:p w14:paraId="1B106753" w14:textId="77777777" w:rsidR="00AC668C" w:rsidRPr="00C166EF" w:rsidRDefault="00AC668C" w:rsidP="00A539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</w:tc>
      </w:tr>
      <w:tr w:rsidR="00371F1A" w:rsidRPr="00C166EF" w14:paraId="1B106758" w14:textId="77777777" w:rsidTr="00352981">
        <w:trPr>
          <w:trHeight w:val="419"/>
        </w:trPr>
        <w:tc>
          <w:tcPr>
            <w:tcW w:w="6534" w:type="dxa"/>
            <w:shd w:val="clear" w:color="auto" w:fill="BFBFBF" w:themeFill="background1" w:themeFillShade="BF"/>
          </w:tcPr>
          <w:p w14:paraId="1B106755" w14:textId="77777777" w:rsidR="00371F1A" w:rsidRPr="00A539CB" w:rsidRDefault="00AD3A8D" w:rsidP="002D70E3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/>
              </w:rPr>
              <w:t>B</w:t>
            </w:r>
            <w:r w:rsidR="006018EF" w:rsidRPr="00A539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/>
              </w:rPr>
              <w:t>oekhoud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/>
              </w:rPr>
              <w:t>kundige verwerking</w:t>
            </w:r>
          </w:p>
        </w:tc>
        <w:tc>
          <w:tcPr>
            <w:tcW w:w="1279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 w:themeFill="background1"/>
            <w:vAlign w:val="center"/>
          </w:tcPr>
          <w:p w14:paraId="1B106756" w14:textId="77777777" w:rsidR="00371F1A" w:rsidRPr="00C166EF" w:rsidRDefault="00306B05" w:rsidP="00A539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B</w:t>
            </w:r>
            <w:r w:rsidR="00371F1A"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A</w:t>
            </w:r>
          </w:p>
        </w:tc>
        <w:tc>
          <w:tcPr>
            <w:tcW w:w="5385" w:type="dxa"/>
            <w:shd w:val="clear" w:color="auto" w:fill="FFFFFF" w:themeFill="background1"/>
            <w:vAlign w:val="center"/>
          </w:tcPr>
          <w:p w14:paraId="1B106757" w14:textId="77777777" w:rsidR="00371F1A" w:rsidRPr="00C166EF" w:rsidRDefault="00371F1A" w:rsidP="00A539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</w:tc>
      </w:tr>
      <w:tr w:rsidR="00AC668C" w:rsidRPr="00326C4F" w14:paraId="1B10675C" w14:textId="77777777" w:rsidTr="00352981">
        <w:trPr>
          <w:trHeight w:val="825"/>
        </w:trPr>
        <w:tc>
          <w:tcPr>
            <w:tcW w:w="6534" w:type="dxa"/>
            <w:shd w:val="clear" w:color="auto" w:fill="auto"/>
            <w:hideMark/>
          </w:tcPr>
          <w:p w14:paraId="1B106759" w14:textId="77777777" w:rsidR="00AC668C" w:rsidRPr="00C166EF" w:rsidRDefault="00AC668C" w:rsidP="00F374D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Beoordelen van de aard en </w:t>
            </w:r>
            <w:r w:rsidR="00F374D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de 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omvang van transacties </w:t>
            </w:r>
            <w:r w:rsidR="00F374D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tussen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verbonden partijen en bepalen of zij werden opgenomen en openbaar gemaakt overeenkomstig </w:t>
            </w:r>
            <w:r w:rsidR="00AD3A8D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het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van toepassing zijnd</w:t>
            </w:r>
            <w:r w:rsidR="00755FE1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referentiestelsel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.</w:t>
            </w:r>
          </w:p>
        </w:tc>
        <w:tc>
          <w:tcPr>
            <w:tcW w:w="1279" w:type="dxa"/>
            <w:vAlign w:val="center"/>
            <w:hideMark/>
          </w:tcPr>
          <w:p w14:paraId="1B10675A" w14:textId="77777777" w:rsidR="00AC668C" w:rsidRPr="00C166EF" w:rsidRDefault="00AC668C" w:rsidP="00A539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5385" w:type="dxa"/>
            <w:vAlign w:val="center"/>
            <w:hideMark/>
          </w:tcPr>
          <w:p w14:paraId="1B10675B" w14:textId="77777777" w:rsidR="00AC668C" w:rsidRPr="00C166EF" w:rsidRDefault="00AC668C" w:rsidP="00A539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</w:tc>
      </w:tr>
    </w:tbl>
    <w:p w14:paraId="1B10675D" w14:textId="77777777" w:rsidR="00F374D4" w:rsidRPr="006B637F" w:rsidRDefault="00F374D4">
      <w:pPr>
        <w:rPr>
          <w:lang w:val="nl-BE"/>
        </w:rPr>
      </w:pPr>
      <w:r w:rsidRPr="006B637F">
        <w:rPr>
          <w:lang w:val="nl-BE"/>
        </w:rPr>
        <w:br w:type="page"/>
      </w:r>
    </w:p>
    <w:tbl>
      <w:tblPr>
        <w:tblW w:w="1319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4"/>
        <w:gridCol w:w="1279"/>
        <w:gridCol w:w="5385"/>
      </w:tblGrid>
      <w:tr w:rsidR="00F374D4" w:rsidRPr="00AC668C" w14:paraId="1B106761" w14:textId="77777777" w:rsidTr="00F374D4">
        <w:trPr>
          <w:trHeight w:val="231"/>
          <w:tblHeader/>
        </w:trPr>
        <w:tc>
          <w:tcPr>
            <w:tcW w:w="6534" w:type="dxa"/>
            <w:shd w:val="clear" w:color="auto" w:fill="A6A6A6" w:themeFill="background1" w:themeFillShade="A6"/>
            <w:vAlign w:val="center"/>
            <w:hideMark/>
          </w:tcPr>
          <w:p w14:paraId="1B10675E" w14:textId="77777777" w:rsidR="00F374D4" w:rsidRPr="00AC668C" w:rsidRDefault="00F374D4" w:rsidP="00F374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/>
              </w:rPr>
            </w:pPr>
          </w:p>
        </w:tc>
        <w:tc>
          <w:tcPr>
            <w:tcW w:w="1279" w:type="dxa"/>
            <w:shd w:val="clear" w:color="auto" w:fill="A6A6A6" w:themeFill="background1" w:themeFillShade="A6"/>
            <w:vAlign w:val="center"/>
            <w:hideMark/>
          </w:tcPr>
          <w:p w14:paraId="1B10675F" w14:textId="77777777" w:rsidR="00F374D4" w:rsidRDefault="00F374D4" w:rsidP="00F374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/>
              </w:rPr>
              <w:t>Bewering</w:t>
            </w:r>
            <w:r>
              <w:t>*</w:t>
            </w:r>
          </w:p>
        </w:tc>
        <w:tc>
          <w:tcPr>
            <w:tcW w:w="5385" w:type="dxa"/>
            <w:shd w:val="clear" w:color="auto" w:fill="A6A6A6" w:themeFill="background1" w:themeFillShade="A6"/>
            <w:vAlign w:val="center"/>
            <w:hideMark/>
          </w:tcPr>
          <w:p w14:paraId="1B106760" w14:textId="77777777" w:rsidR="00F374D4" w:rsidRPr="00AC668C" w:rsidRDefault="00F374D4" w:rsidP="00F374D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/>
              </w:rPr>
            </w:pPr>
            <w:r w:rsidRPr="00AC66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/>
              </w:rPr>
              <w:t>Commentaar</w:t>
            </w:r>
          </w:p>
        </w:tc>
      </w:tr>
      <w:tr w:rsidR="00371F1A" w:rsidRPr="00326C4F" w14:paraId="1B106765" w14:textId="77777777" w:rsidTr="00352981">
        <w:trPr>
          <w:trHeight w:val="300"/>
        </w:trPr>
        <w:tc>
          <w:tcPr>
            <w:tcW w:w="6534" w:type="dxa"/>
            <w:shd w:val="clear" w:color="auto" w:fill="BFBFBF" w:themeFill="background1" w:themeFillShade="BF"/>
            <w:noWrap/>
            <w:vAlign w:val="bottom"/>
            <w:hideMark/>
          </w:tcPr>
          <w:p w14:paraId="1B106762" w14:textId="77777777" w:rsidR="00371F1A" w:rsidRPr="00A539CB" w:rsidRDefault="00371F1A" w:rsidP="002D70E3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/>
              </w:rPr>
            </w:pPr>
            <w:bookmarkStart w:id="0" w:name="RANGE!A58"/>
            <w:r w:rsidRPr="00A539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/>
              </w:rPr>
              <w:t>Onderzoeken van geïdentificeerde transacties met verbonden partijen</w:t>
            </w:r>
            <w:bookmarkEnd w:id="0"/>
          </w:p>
        </w:tc>
        <w:tc>
          <w:tcPr>
            <w:tcW w:w="1279" w:type="dxa"/>
            <w:shd w:val="clear" w:color="auto" w:fill="auto"/>
            <w:hideMark/>
          </w:tcPr>
          <w:p w14:paraId="1B106763" w14:textId="77777777" w:rsidR="00371F1A" w:rsidRPr="00C166EF" w:rsidRDefault="00371F1A" w:rsidP="00A539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5385" w:type="dxa"/>
            <w:shd w:val="clear" w:color="auto" w:fill="auto"/>
            <w:hideMark/>
          </w:tcPr>
          <w:p w14:paraId="1B106764" w14:textId="77777777" w:rsidR="00371F1A" w:rsidRPr="00C166EF" w:rsidRDefault="00371F1A" w:rsidP="00A539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</w:tc>
      </w:tr>
      <w:tr w:rsidR="00AC668C" w:rsidRPr="00326C4F" w14:paraId="1B106779" w14:textId="77777777" w:rsidTr="00352981">
        <w:trPr>
          <w:trHeight w:val="895"/>
        </w:trPr>
        <w:tc>
          <w:tcPr>
            <w:tcW w:w="6534" w:type="dxa"/>
            <w:shd w:val="clear" w:color="auto" w:fill="auto"/>
            <w:noWrap/>
            <w:vAlign w:val="bottom"/>
            <w:hideMark/>
          </w:tcPr>
          <w:p w14:paraId="1B106766" w14:textId="77777777" w:rsidR="00AD3A8D" w:rsidRDefault="00AC668C" w:rsidP="002D70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Na identificatie van transacti</w:t>
            </w:r>
            <w:r w:rsidR="00FB7DE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es </w:t>
            </w:r>
            <w:r w:rsidR="0068632B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tussen</w:t>
            </w:r>
            <w:r w:rsidR="00FB7DE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verbonden partijen dienen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de nodige </w:t>
            </w:r>
            <w:r w:rsidR="00AD3A8D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controle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werkzaamheden te worden uitgevoerd teneinde voldoende geschikte controle-informatie te verkrijgen over het feit of de transacties op een juiste wijze werden vastgelegd en </w:t>
            </w:r>
            <w:r w:rsidR="0068632B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opgenomen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in de</w:t>
            </w:r>
            <w:r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jaarrekening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.</w:t>
            </w:r>
          </w:p>
          <w:p w14:paraId="1B106767" w14:textId="77777777" w:rsidR="007D2988" w:rsidRDefault="007D2988" w:rsidP="002D70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  <w:p w14:paraId="1B106768" w14:textId="77777777" w:rsidR="00AC668C" w:rsidRPr="00C166EF" w:rsidRDefault="00AC668C" w:rsidP="002D70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Dergelijke werkzaamheden kunnen omvatten:</w:t>
            </w:r>
          </w:p>
          <w:p w14:paraId="1B106769" w14:textId="77777777" w:rsidR="00AC668C" w:rsidRPr="0068632B" w:rsidRDefault="00AC668C" w:rsidP="0068632B">
            <w:pPr>
              <w:pStyle w:val="ListParagraph"/>
              <w:numPr>
                <w:ilvl w:val="0"/>
                <w:numId w:val="35"/>
              </w:num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68632B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het verkrijgen van kennis van het bedrijfsoogmerk van de transactie. </w:t>
            </w:r>
            <w:r w:rsidR="00FB7DE4" w:rsidRPr="0068632B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Afhangend van de omstandigheden</w:t>
            </w:r>
            <w:r w:rsidRPr="0068632B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kan dit worden gerealiseerd door een aantal van de volgende </w:t>
            </w:r>
            <w:r w:rsidR="00AD3A8D" w:rsidRPr="0068632B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controle</w:t>
            </w:r>
            <w:r w:rsidRPr="0068632B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werkzaamheden:</w:t>
            </w:r>
          </w:p>
          <w:p w14:paraId="1B10676A" w14:textId="77777777" w:rsidR="0068632B" w:rsidRPr="00351364" w:rsidRDefault="0068632B" w:rsidP="0068632B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ind w:leftChars="151" w:left="612" w:hangingChars="140" w:hanging="280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informatie verkrijgen m</w:t>
            </w:r>
            <w:r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et betrekking tot het financiële</w:t>
            </w:r>
            <w:r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vermogen van de andere partijen in de transactie;</w:t>
            </w:r>
          </w:p>
          <w:p w14:paraId="1B10676B" w14:textId="77777777" w:rsidR="00AC668C" w:rsidRDefault="00AC668C" w:rsidP="002D70E3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Chars="151" w:left="612" w:hangingChars="140" w:hanging="280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uitvoeren van geschikte </w:t>
            </w:r>
            <w:r w:rsidR="0003719B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alternatieve</w:t>
            </w:r>
            <w:r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werkzaamheden bij het ontbreken van antwoorden;</w:t>
            </w:r>
          </w:p>
          <w:p w14:paraId="1B10676C" w14:textId="77777777" w:rsidR="0068632B" w:rsidRDefault="0068632B" w:rsidP="0068632B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Chars="151" w:left="612" w:hangingChars="140" w:hanging="280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van het bedrag en de voorwaarden van de transactie, met inbegrip van waarborgen en andere significante gegevens, met de andere partij</w:t>
            </w:r>
            <w:r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en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of partijen in de transactie</w:t>
            </w:r>
          </w:p>
          <w:p w14:paraId="1B10676D" w14:textId="77777777" w:rsidR="00AC668C" w:rsidRPr="00351364" w:rsidRDefault="00AC668C" w:rsidP="002D70E3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Chars="151" w:left="612" w:hangingChars="140" w:hanging="280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onderzoeken van informatie in het bezit van de andere partij</w:t>
            </w:r>
            <w:r w:rsidR="0003719B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en</w:t>
            </w:r>
            <w:r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in de transactie; en</w:t>
            </w:r>
          </w:p>
          <w:p w14:paraId="1B10676E" w14:textId="77777777" w:rsidR="00352981" w:rsidRDefault="00AC668C" w:rsidP="002D70E3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Chars="151" w:left="612" w:hangingChars="140" w:hanging="280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met betrekking tot de van materieel belang zijnde niet geïnde saldi, waarborgen en andere verplichtingen,</w:t>
            </w:r>
          </w:p>
          <w:p w14:paraId="1B10676F" w14:textId="77777777" w:rsidR="00AC668C" w:rsidRPr="00351364" w:rsidRDefault="00AC668C" w:rsidP="0068632B">
            <w:pPr>
              <w:spacing w:before="60" w:after="60" w:line="240" w:lineRule="auto"/>
              <w:ind w:leftChars="23" w:left="473" w:hangingChars="211" w:hanging="422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b)</w:t>
            </w:r>
            <w:r w:rsidR="00E12A96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ab/>
            </w:r>
            <w:r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onderzoeken van facturen, </w:t>
            </w:r>
            <w:r w:rsidR="0003719B"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kopie</w:t>
            </w:r>
            <w:r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van ge</w:t>
            </w:r>
            <w:r w:rsidR="00E12A96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sloten </w:t>
            </w:r>
            <w:r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overeenkomsten, contracten en andere rele</w:t>
            </w:r>
            <w:r w:rsidR="006664E0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vante documenten zoals ontvangen </w:t>
            </w:r>
            <w:r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rapporten</w:t>
            </w:r>
            <w:r w:rsidR="006664E0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,</w:t>
            </w:r>
            <w:r w:rsidR="0003719B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</w:t>
            </w:r>
            <w:r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teneinde te bepalen of de transactie van belang is;</w:t>
            </w:r>
          </w:p>
          <w:p w14:paraId="1B106770" w14:textId="77777777" w:rsidR="00AC668C" w:rsidRPr="00351364" w:rsidRDefault="00AC668C" w:rsidP="0068632B">
            <w:pPr>
              <w:spacing w:before="60" w:after="60" w:line="240" w:lineRule="auto"/>
              <w:ind w:leftChars="23" w:left="473" w:hangingChars="211" w:hanging="422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c) bepalen of de transactie specifi</w:t>
            </w:r>
            <w:r w:rsidR="006664E0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eke goedkeuring van het </w:t>
            </w:r>
            <w:r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bestuur</w:t>
            </w:r>
            <w:r w:rsidR="006664E0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sorgaan</w:t>
            </w:r>
            <w:r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of </w:t>
            </w:r>
            <w:r w:rsidR="00E12A96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enige </w:t>
            </w:r>
            <w:r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andere adequate </w:t>
            </w:r>
            <w:r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persoon </w:t>
            </w:r>
            <w:r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vereist en</w:t>
            </w:r>
            <w:r w:rsidR="00E12A96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,</w:t>
            </w:r>
            <w:r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zo ja, dat de transactie </w:t>
            </w:r>
            <w:r w:rsidR="00E12A96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degelijk</w:t>
            </w:r>
            <w:r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werd goedgekeurd;</w:t>
            </w:r>
          </w:p>
          <w:p w14:paraId="1B106771" w14:textId="77777777" w:rsidR="00AC668C" w:rsidRPr="00351364" w:rsidRDefault="00E66F42" w:rsidP="0068632B">
            <w:pPr>
              <w:spacing w:before="60" w:after="60" w:line="240" w:lineRule="auto"/>
              <w:ind w:leftChars="23" w:left="475" w:hangingChars="212" w:hanging="424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d</w:t>
            </w:r>
            <w:r w:rsidR="00AC668C"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)</w:t>
            </w:r>
            <w:r w:rsidR="0068632B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 </w:t>
            </w:r>
            <w:r w:rsidR="00AC668C"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beoordelen van </w:t>
            </w:r>
            <w:r w:rsidR="00E12A96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de van </w:t>
            </w:r>
            <w:r w:rsidR="00AC668C"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belang zijnd</w:t>
            </w:r>
            <w:r w:rsidR="009312CA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e transacties buiten het normale</w:t>
            </w:r>
            <w:r w:rsidR="00AC668C"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verloop van de activiteiten; transacties met een overdracht van activa tegen </w:t>
            </w:r>
            <w:r w:rsidR="0068632B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een </w:t>
            </w:r>
            <w:r w:rsidR="001030FD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abnormale waarde</w:t>
            </w:r>
            <w:r w:rsidR="00AC668C"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dienen te </w:t>
            </w:r>
            <w:r w:rsidR="00AC668C"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lastRenderedPageBreak/>
              <w:t>worden beoordeeld teneinde te bepalen of zij een economisch belang hebben;</w:t>
            </w:r>
          </w:p>
          <w:p w14:paraId="1B106772" w14:textId="77777777" w:rsidR="00AC668C" w:rsidRPr="00532A46" w:rsidRDefault="00E66F42" w:rsidP="002D70E3">
            <w:pPr>
              <w:spacing w:before="60" w:after="60" w:line="240" w:lineRule="auto"/>
              <w:ind w:leftChars="23" w:left="333" w:hangingChars="141" w:hanging="282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e) </w:t>
            </w:r>
            <w:r w:rsidR="00AC668C"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onderzoeken of bevestigen en verkrijgen van</w:t>
            </w:r>
            <w:r w:rsidR="00AC668C" w:rsidRPr="00532A46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goedkeuring met </w:t>
            </w:r>
            <w:r w:rsidR="001030FD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 </w:t>
            </w:r>
            <w:r w:rsidR="00AC668C" w:rsidRPr="00532A46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betrekking tot:</w:t>
            </w:r>
          </w:p>
          <w:p w14:paraId="1B106773" w14:textId="77777777" w:rsidR="00AC668C" w:rsidRPr="00351364" w:rsidRDefault="00AC668C" w:rsidP="002D70E3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="616" w:hanging="283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de overdraagbaarheid en de waarde van een onderpand; en</w:t>
            </w:r>
          </w:p>
          <w:p w14:paraId="1B106774" w14:textId="77777777" w:rsidR="00AC668C" w:rsidRPr="00351364" w:rsidRDefault="00AC668C" w:rsidP="002D70E3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="616" w:hanging="283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de verhaalbaarheid van vorderingen en voorschotten</w:t>
            </w:r>
            <w:r w:rsidR="00E12A96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;</w:t>
            </w:r>
          </w:p>
          <w:p w14:paraId="1B106775" w14:textId="77777777" w:rsidR="00AC668C" w:rsidRPr="00351364" w:rsidRDefault="00E66F42" w:rsidP="002D70E3">
            <w:pPr>
              <w:spacing w:before="60" w:after="60" w:line="240" w:lineRule="auto"/>
              <w:ind w:leftChars="23" w:left="333" w:hangingChars="141" w:hanging="282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f</w:t>
            </w:r>
            <w:r w:rsidR="00AC668C"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) verkrijgen van bevestiging van saldi met verbonden partijen</w:t>
            </w:r>
            <w:r w:rsidR="004068E0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;</w:t>
            </w:r>
            <w:r w:rsidR="00AC668C"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</w:t>
            </w:r>
            <w:r w:rsidR="004068E0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w</w:t>
            </w:r>
            <w:r w:rsidR="00AC668C"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anneer de rekeningen van verbonden partijen worden gecontroleerd door andere auditors, bevestigen van de saldi en transacties met dergelijke auditors</w:t>
            </w:r>
            <w:r w:rsidR="004068E0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(eventueel intragroep)</w:t>
            </w:r>
            <w:r w:rsidR="00AC668C"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;</w:t>
            </w:r>
          </w:p>
          <w:p w14:paraId="1B106776" w14:textId="77777777" w:rsidR="00E66F42" w:rsidRPr="00351364" w:rsidRDefault="00E66F42" w:rsidP="001030FD">
            <w:pPr>
              <w:spacing w:before="60" w:after="60" w:line="240" w:lineRule="auto"/>
              <w:ind w:leftChars="23" w:left="333" w:hangingChars="141" w:hanging="282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g</w:t>
            </w:r>
            <w:r w:rsidR="00AC668C"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) nagaan of de aard en bedragen van transacties met verbonden partijen redelijk zijn in het licht van vo</w:t>
            </w:r>
            <w:r w:rsidR="001030FD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rige</w:t>
            </w:r>
            <w:r w:rsidR="00AC668C"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boekjaren en van </w:t>
            </w:r>
            <w:r w:rsidR="00AC668C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de </w:t>
            </w:r>
            <w:r w:rsidR="00AC668C"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kennis van </w:t>
            </w:r>
            <w:r w:rsidR="002D70E3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de entiteit</w:t>
            </w:r>
            <w:r w:rsidR="00AC668C"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.</w:t>
            </w:r>
          </w:p>
        </w:tc>
        <w:tc>
          <w:tcPr>
            <w:tcW w:w="1279" w:type="dxa"/>
            <w:shd w:val="clear" w:color="auto" w:fill="auto"/>
            <w:hideMark/>
          </w:tcPr>
          <w:p w14:paraId="1B106777" w14:textId="77777777" w:rsidR="00AC668C" w:rsidRPr="00532A46" w:rsidRDefault="00AC668C" w:rsidP="00A539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5385" w:type="dxa"/>
            <w:shd w:val="clear" w:color="auto" w:fill="auto"/>
            <w:hideMark/>
          </w:tcPr>
          <w:p w14:paraId="1B106778" w14:textId="77777777" w:rsidR="00AC668C" w:rsidRPr="007B4364" w:rsidRDefault="00AC668C" w:rsidP="00A539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</w:tc>
      </w:tr>
      <w:tr w:rsidR="00D15E9F" w:rsidRPr="00A539CB" w14:paraId="1B10677D" w14:textId="77777777" w:rsidTr="00352981">
        <w:trPr>
          <w:trHeight w:val="417"/>
        </w:trPr>
        <w:tc>
          <w:tcPr>
            <w:tcW w:w="6534" w:type="dxa"/>
            <w:shd w:val="clear" w:color="auto" w:fill="BFBFBF" w:themeFill="background1" w:themeFillShade="BF"/>
            <w:noWrap/>
          </w:tcPr>
          <w:p w14:paraId="1B10677A" w14:textId="77777777" w:rsidR="00D15E9F" w:rsidRPr="00A539CB" w:rsidRDefault="00D15E9F" w:rsidP="002D70E3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A539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/>
              </w:rPr>
              <w:t>Onregelmatigheden</w:t>
            </w:r>
          </w:p>
        </w:tc>
        <w:tc>
          <w:tcPr>
            <w:tcW w:w="1279" w:type="dxa"/>
            <w:shd w:val="clear" w:color="auto" w:fill="auto"/>
          </w:tcPr>
          <w:p w14:paraId="1B10677B" w14:textId="77777777" w:rsidR="00D15E9F" w:rsidRPr="00532A46" w:rsidRDefault="00306B0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VB</w:t>
            </w:r>
            <w:r w:rsidR="00D15E9F"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W</w:t>
            </w:r>
          </w:p>
        </w:tc>
        <w:tc>
          <w:tcPr>
            <w:tcW w:w="5385" w:type="dxa"/>
            <w:shd w:val="clear" w:color="auto" w:fill="auto"/>
          </w:tcPr>
          <w:p w14:paraId="1B10677C" w14:textId="77777777" w:rsidR="00D15E9F" w:rsidRPr="007B4364" w:rsidRDefault="00D15E9F" w:rsidP="007A14F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</w:tc>
      </w:tr>
      <w:tr w:rsidR="00AC668C" w:rsidRPr="00326C4F" w14:paraId="1B106787" w14:textId="77777777" w:rsidTr="00352981">
        <w:trPr>
          <w:trHeight w:val="2029"/>
        </w:trPr>
        <w:tc>
          <w:tcPr>
            <w:tcW w:w="6534" w:type="dxa"/>
            <w:shd w:val="clear" w:color="auto" w:fill="auto"/>
            <w:noWrap/>
            <w:vAlign w:val="bottom"/>
          </w:tcPr>
          <w:p w14:paraId="1B10677E" w14:textId="77777777" w:rsidR="00AC668C" w:rsidRPr="00C166EF" w:rsidRDefault="00AC668C" w:rsidP="002D70E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Indien er </w:t>
            </w:r>
            <w:r w:rsidR="005A10B9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bewijsstukken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</w:t>
            </w:r>
            <w:r w:rsidR="005A10B9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zijn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</w:t>
            </w:r>
            <w:r w:rsidR="005A10B9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van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mogelijke onregelmatigheden zoals opzettelijk verhulde transacties:</w:t>
            </w:r>
          </w:p>
          <w:p w14:paraId="1B10677F" w14:textId="77777777" w:rsidR="00AC668C" w:rsidRPr="00C166EF" w:rsidRDefault="00AC668C" w:rsidP="002D70E3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333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vastleggen </w:t>
            </w:r>
            <w:r w:rsidR="004654BE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van de </w:t>
            </w:r>
            <w:r w:rsidR="005A10B9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bewijsstukken</w:t>
            </w:r>
            <w:r w:rsidR="004654BE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;</w:t>
            </w:r>
          </w:p>
          <w:p w14:paraId="1B106780" w14:textId="77777777" w:rsidR="00AC668C" w:rsidRPr="00C166EF" w:rsidRDefault="00AC668C" w:rsidP="002D70E3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333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verkrijgen en vastleggen van de toelichtingen van </w:t>
            </w:r>
            <w:r w:rsidR="004654BE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de leiding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;</w:t>
            </w:r>
          </w:p>
          <w:p w14:paraId="1B106781" w14:textId="77777777" w:rsidR="00AC668C" w:rsidRPr="00C166EF" w:rsidRDefault="00AC668C" w:rsidP="002D70E3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333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controleren van de feiten met het personeel van de entiteit d</w:t>
            </w:r>
            <w:r w:rsidR="004654BE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at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het meest rechtstreeks betrokken is;</w:t>
            </w:r>
          </w:p>
          <w:p w14:paraId="1B106782" w14:textId="77777777" w:rsidR="00AC668C" w:rsidRPr="00C166EF" w:rsidRDefault="00AC668C" w:rsidP="002D70E3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333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opzetten en uitvoeren van bijkomende </w:t>
            </w:r>
            <w:r w:rsidR="004654BE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controle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werkzaamheden om de geïdentificeerde aangelegenheden te bevestigen of te </w:t>
            </w:r>
            <w:r w:rsidR="004654BE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ontkrachten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;</w:t>
            </w:r>
          </w:p>
          <w:p w14:paraId="1B106783" w14:textId="77777777" w:rsidR="00AC668C" w:rsidRPr="00C166EF" w:rsidRDefault="00AC668C" w:rsidP="002D70E3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333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nagaan of het nodig is om verslag uit te brengen over de </w:t>
            </w:r>
            <w:r w:rsidR="00A853CE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bevindingen</w:t>
            </w:r>
            <w:r w:rsidR="00A853CE"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en de geplande handelswijze aan het toezichthoudend orgaan (behalve indien het deel uitmaakt van </w:t>
            </w:r>
            <w:r w:rsidR="004654BE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de leiding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);</w:t>
            </w:r>
          </w:p>
          <w:p w14:paraId="1B106784" w14:textId="77777777" w:rsidR="00AC668C" w:rsidRPr="00A539CB" w:rsidRDefault="00AC668C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333" w:hanging="284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A539CB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indien de aangelegenheden niet zijn </w:t>
            </w:r>
            <w:r w:rsidR="004654BE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ontkracht</w:t>
            </w:r>
            <w:r w:rsidRPr="00A539CB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, nagaan van de impact op het controle-oordeel.</w:t>
            </w:r>
          </w:p>
        </w:tc>
        <w:tc>
          <w:tcPr>
            <w:tcW w:w="1279" w:type="dxa"/>
            <w:shd w:val="clear" w:color="auto" w:fill="auto"/>
          </w:tcPr>
          <w:p w14:paraId="1B106785" w14:textId="77777777" w:rsidR="00AC668C" w:rsidRPr="00532A46" w:rsidRDefault="00AC668C" w:rsidP="007A14F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5385" w:type="dxa"/>
            <w:shd w:val="clear" w:color="auto" w:fill="auto"/>
          </w:tcPr>
          <w:p w14:paraId="1B106786" w14:textId="77777777" w:rsidR="00AC668C" w:rsidRPr="007B4364" w:rsidRDefault="00AC668C" w:rsidP="007A14F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</w:tc>
      </w:tr>
    </w:tbl>
    <w:p w14:paraId="1B106788" w14:textId="77777777" w:rsidR="001030FD" w:rsidRPr="006B637F" w:rsidRDefault="001030FD">
      <w:pPr>
        <w:rPr>
          <w:lang w:val="nl-BE"/>
        </w:rPr>
      </w:pPr>
      <w:r w:rsidRPr="006B637F">
        <w:rPr>
          <w:lang w:val="nl-BE"/>
        </w:rPr>
        <w:br w:type="page"/>
      </w:r>
    </w:p>
    <w:tbl>
      <w:tblPr>
        <w:tblW w:w="1319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4"/>
        <w:gridCol w:w="1279"/>
        <w:gridCol w:w="5385"/>
      </w:tblGrid>
      <w:tr w:rsidR="001030FD" w:rsidRPr="00AC668C" w14:paraId="1B10678C" w14:textId="77777777" w:rsidTr="001030FD">
        <w:trPr>
          <w:trHeight w:val="231"/>
          <w:tblHeader/>
        </w:trPr>
        <w:tc>
          <w:tcPr>
            <w:tcW w:w="6534" w:type="dxa"/>
            <w:shd w:val="clear" w:color="auto" w:fill="A6A6A6" w:themeFill="background1" w:themeFillShade="A6"/>
            <w:vAlign w:val="center"/>
            <w:hideMark/>
          </w:tcPr>
          <w:p w14:paraId="1B106789" w14:textId="77777777" w:rsidR="001030FD" w:rsidRPr="00AC668C" w:rsidRDefault="001030FD" w:rsidP="001030F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/>
              </w:rPr>
            </w:pPr>
          </w:p>
        </w:tc>
        <w:tc>
          <w:tcPr>
            <w:tcW w:w="1279" w:type="dxa"/>
            <w:shd w:val="clear" w:color="auto" w:fill="A6A6A6" w:themeFill="background1" w:themeFillShade="A6"/>
            <w:vAlign w:val="center"/>
            <w:hideMark/>
          </w:tcPr>
          <w:p w14:paraId="1B10678A" w14:textId="77777777" w:rsidR="001030FD" w:rsidRDefault="001030FD" w:rsidP="001030F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/>
              </w:rPr>
              <w:t>Bewering</w:t>
            </w:r>
            <w:r>
              <w:t>*</w:t>
            </w:r>
          </w:p>
        </w:tc>
        <w:tc>
          <w:tcPr>
            <w:tcW w:w="5385" w:type="dxa"/>
            <w:shd w:val="clear" w:color="auto" w:fill="A6A6A6" w:themeFill="background1" w:themeFillShade="A6"/>
            <w:vAlign w:val="center"/>
            <w:hideMark/>
          </w:tcPr>
          <w:p w14:paraId="1B10678B" w14:textId="77777777" w:rsidR="001030FD" w:rsidRPr="00AC668C" w:rsidRDefault="001030FD" w:rsidP="001030F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/>
              </w:rPr>
            </w:pPr>
            <w:r w:rsidRPr="00AC66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/>
              </w:rPr>
              <w:t>Commentaar</w:t>
            </w:r>
          </w:p>
        </w:tc>
      </w:tr>
      <w:tr w:rsidR="00371F1A" w:rsidRPr="00C166EF" w14:paraId="1B106790" w14:textId="77777777" w:rsidTr="00352981">
        <w:trPr>
          <w:trHeight w:val="300"/>
        </w:trPr>
        <w:tc>
          <w:tcPr>
            <w:tcW w:w="6534" w:type="dxa"/>
            <w:shd w:val="clear" w:color="auto" w:fill="BFBFBF" w:themeFill="background1" w:themeFillShade="BF"/>
            <w:vAlign w:val="bottom"/>
            <w:hideMark/>
          </w:tcPr>
          <w:p w14:paraId="1B10678D" w14:textId="77777777" w:rsidR="00371F1A" w:rsidRPr="00A539CB" w:rsidRDefault="00371F1A" w:rsidP="00AA007B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nl-BE"/>
              </w:rPr>
            </w:pPr>
            <w:r w:rsidRPr="00A539CB">
              <w:rPr>
                <w:rFonts w:ascii="Arial" w:eastAsia="Times New Roman" w:hAnsi="Arial" w:cs="Arial"/>
                <w:b/>
                <w:sz w:val="20"/>
                <w:szCs w:val="20"/>
                <w:lang w:val="nl-BE"/>
              </w:rPr>
              <w:t>Beoordelen van niet</w:t>
            </w:r>
            <w:r w:rsidR="004654BE">
              <w:rPr>
                <w:rFonts w:ascii="Arial" w:eastAsia="Times New Roman" w:hAnsi="Arial" w:cs="Arial"/>
                <w:b/>
                <w:sz w:val="20"/>
                <w:szCs w:val="20"/>
                <w:lang w:val="nl-BE"/>
              </w:rPr>
              <w:t xml:space="preserve"> </w:t>
            </w:r>
            <w:r w:rsidRPr="00A539CB">
              <w:rPr>
                <w:rFonts w:ascii="Arial" w:eastAsia="Times New Roman" w:hAnsi="Arial" w:cs="Arial"/>
                <w:b/>
                <w:sz w:val="20"/>
                <w:szCs w:val="20"/>
                <w:lang w:val="nl-BE"/>
              </w:rPr>
              <w:t>eerder geïdentificeerde verbonden partijen</w:t>
            </w:r>
          </w:p>
        </w:tc>
        <w:tc>
          <w:tcPr>
            <w:tcW w:w="1279" w:type="dxa"/>
            <w:shd w:val="clear" w:color="auto" w:fill="auto"/>
            <w:hideMark/>
          </w:tcPr>
          <w:p w14:paraId="1B10678E" w14:textId="77777777" w:rsidR="00371F1A" w:rsidRPr="00C166EF" w:rsidRDefault="00306B0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VB</w:t>
            </w:r>
            <w:r w:rsidR="00371F1A"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A</w:t>
            </w:r>
          </w:p>
        </w:tc>
        <w:tc>
          <w:tcPr>
            <w:tcW w:w="5385" w:type="dxa"/>
            <w:shd w:val="clear" w:color="auto" w:fill="auto"/>
            <w:hideMark/>
          </w:tcPr>
          <w:p w14:paraId="1B10678F" w14:textId="77777777" w:rsidR="00371F1A" w:rsidRPr="00C166EF" w:rsidRDefault="00371F1A" w:rsidP="00A539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</w:tc>
      </w:tr>
      <w:tr w:rsidR="00AC668C" w:rsidRPr="00326C4F" w14:paraId="1B10679B" w14:textId="77777777" w:rsidTr="00352981">
        <w:trPr>
          <w:trHeight w:val="2531"/>
        </w:trPr>
        <w:tc>
          <w:tcPr>
            <w:tcW w:w="6534" w:type="dxa"/>
            <w:shd w:val="clear" w:color="auto" w:fill="auto"/>
            <w:vAlign w:val="bottom"/>
            <w:hideMark/>
          </w:tcPr>
          <w:p w14:paraId="1B106791" w14:textId="77777777" w:rsidR="00AC668C" w:rsidRPr="00C166EF" w:rsidRDefault="00AC668C" w:rsidP="00AA007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Bij identificatie van overeenkomsten of informatie die wijzen op het bestaan van niet eerder geïdentificeerde of openbaar gemaakte verbonden partijen of transacties </w:t>
            </w:r>
            <w:r w:rsidR="001030FD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tussen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verbonden partijen:</w:t>
            </w:r>
          </w:p>
          <w:p w14:paraId="1B106792" w14:textId="77777777" w:rsidR="00AC668C" w:rsidRPr="00C166EF" w:rsidRDefault="000A5DF0" w:rsidP="00AA007B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ind w:left="333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de leiding </w:t>
            </w:r>
            <w:r w:rsidR="00AC668C"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verzoeken om alle transacties te identificeren met de nieuw geïdentificeerde verbonden partijen;</w:t>
            </w:r>
          </w:p>
          <w:p w14:paraId="1B106793" w14:textId="77777777" w:rsidR="00AC668C" w:rsidRPr="00C166EF" w:rsidRDefault="005A10B9" w:rsidP="00AA007B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ind w:left="333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verkrijgen</w:t>
            </w:r>
            <w:r w:rsidR="00AC668C"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van inlichtingen over het feit waarom de interne beheersingsmaatregelen de verbonden partijen of transacties met verbonden partijen niet hebben kunnen identificeren;</w:t>
            </w:r>
          </w:p>
          <w:p w14:paraId="1B106794" w14:textId="77777777" w:rsidR="00AC668C" w:rsidRPr="00C166EF" w:rsidRDefault="005A10B9" w:rsidP="00AA007B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ind w:left="333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verkrijgen</w:t>
            </w:r>
            <w:r w:rsidR="00AC668C"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van inlichtingen over de aard van de </w:t>
            </w:r>
            <w:r w:rsidR="000A5DF0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relatie </w:t>
            </w:r>
            <w:r w:rsidR="00AC668C"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met de nieuw geïdentificeerde verbonden partijen:</w:t>
            </w:r>
          </w:p>
          <w:p w14:paraId="1B106795" w14:textId="77777777" w:rsidR="00AC668C" w:rsidRPr="00C166EF" w:rsidRDefault="00AC668C" w:rsidP="00AA007B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ind w:left="616" w:hanging="283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beoordelen van de </w:t>
            </w:r>
            <w:r w:rsidR="000A5DF0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vastlegging van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</w:t>
            </w:r>
            <w:r w:rsidR="001030FD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de 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transacties met de nieuw geïdentificeerde verbonden partijen;</w:t>
            </w:r>
          </w:p>
          <w:p w14:paraId="1B106796" w14:textId="77777777" w:rsidR="00AC668C" w:rsidRPr="00351364" w:rsidRDefault="00AC668C" w:rsidP="00AA007B">
            <w:pPr>
              <w:pStyle w:val="ListParagraph"/>
              <w:numPr>
                <w:ilvl w:val="0"/>
                <w:numId w:val="11"/>
              </w:numPr>
              <w:spacing w:before="60" w:after="60" w:line="240" w:lineRule="auto"/>
              <w:ind w:left="616" w:hanging="283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controleren van de voorwaarden van de nieuw</w:t>
            </w:r>
            <w:r w:rsidR="000A5DF0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e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transacties </w:t>
            </w:r>
            <w:r w:rsidR="001030FD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tussen</w:t>
            </w:r>
            <w:r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</w:t>
            </w:r>
            <w:r w:rsidR="000A5DF0" w:rsidRPr="000A5DF0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geïdentificeerde </w:t>
            </w:r>
            <w:r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verbonden partijen en evalueren of de</w:t>
            </w:r>
            <w:r w:rsidR="000A5DF0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ze</w:t>
            </w:r>
            <w:r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transacties </w:t>
            </w:r>
            <w:r w:rsidR="001030FD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tussen</w:t>
            </w:r>
            <w:r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verbonden partijen op een geschikte wijze werden </w:t>
            </w:r>
            <w:r w:rsidR="000A5DF0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verricht</w:t>
            </w:r>
            <w:r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en openbaar gemaakt in overeenstemming met het van toepassing zijnd</w:t>
            </w:r>
            <w:r w:rsidR="00E12DA1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e</w:t>
            </w:r>
            <w:r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stelsel inzake</w:t>
            </w:r>
            <w:r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</w:t>
            </w:r>
            <w:r w:rsidR="000A5DF0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financiële verslaggeving</w:t>
            </w:r>
            <w:r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;</w:t>
            </w:r>
          </w:p>
          <w:p w14:paraId="1B106797" w14:textId="77777777" w:rsidR="00AC668C" w:rsidRPr="00351364" w:rsidRDefault="00AC668C" w:rsidP="00AA007B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ind w:left="333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nagaan van het risico van andere verbonden partijen of significante transacties met </w:t>
            </w:r>
            <w:r w:rsidR="001030FD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andere </w:t>
            </w:r>
            <w:r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verbonden partijen die niet eerder werden geïdentificeerd of openbaar gemaakt, en het uitvoeren van bijkomende controlewerkzaamheden indien nodig; en</w:t>
            </w:r>
          </w:p>
          <w:p w14:paraId="1B106798" w14:textId="77777777" w:rsidR="00AC668C" w:rsidRPr="00351364" w:rsidRDefault="00AC668C" w:rsidP="00AA007B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ind w:left="333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in geval van opzettelijke niet-openbaarmaking van transacties met verbonden partijen door </w:t>
            </w:r>
            <w:r w:rsidR="007A01C1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de leiding </w:t>
            </w:r>
            <w:r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(kenmerkend voor een frauderisico), nagaan van de gevolgen hiervan voor de audit.</w:t>
            </w:r>
          </w:p>
        </w:tc>
        <w:tc>
          <w:tcPr>
            <w:tcW w:w="1279" w:type="dxa"/>
            <w:shd w:val="clear" w:color="auto" w:fill="auto"/>
            <w:hideMark/>
          </w:tcPr>
          <w:p w14:paraId="1B106799" w14:textId="77777777" w:rsidR="00AC668C" w:rsidRPr="00351364" w:rsidRDefault="00AC668C" w:rsidP="00A539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5385" w:type="dxa"/>
            <w:shd w:val="clear" w:color="auto" w:fill="auto"/>
            <w:hideMark/>
          </w:tcPr>
          <w:p w14:paraId="1B10679A" w14:textId="77777777" w:rsidR="00AC668C" w:rsidRPr="00351364" w:rsidRDefault="00AC668C" w:rsidP="00A539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</w:tc>
      </w:tr>
    </w:tbl>
    <w:p w14:paraId="1B10679C" w14:textId="77777777" w:rsidR="001030FD" w:rsidRPr="006B637F" w:rsidRDefault="001030FD">
      <w:pPr>
        <w:rPr>
          <w:lang w:val="nl-BE"/>
        </w:rPr>
      </w:pPr>
      <w:r w:rsidRPr="006B637F">
        <w:rPr>
          <w:lang w:val="nl-BE"/>
        </w:rPr>
        <w:br w:type="page"/>
      </w:r>
    </w:p>
    <w:tbl>
      <w:tblPr>
        <w:tblW w:w="1319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4"/>
        <w:gridCol w:w="1279"/>
        <w:gridCol w:w="5385"/>
      </w:tblGrid>
      <w:tr w:rsidR="001030FD" w:rsidRPr="00AC668C" w14:paraId="1B1067A0" w14:textId="77777777" w:rsidTr="001030FD">
        <w:trPr>
          <w:trHeight w:val="231"/>
          <w:tblHeader/>
        </w:trPr>
        <w:tc>
          <w:tcPr>
            <w:tcW w:w="6534" w:type="dxa"/>
            <w:shd w:val="clear" w:color="auto" w:fill="A6A6A6" w:themeFill="background1" w:themeFillShade="A6"/>
            <w:vAlign w:val="center"/>
            <w:hideMark/>
          </w:tcPr>
          <w:p w14:paraId="1B10679D" w14:textId="77777777" w:rsidR="001030FD" w:rsidRPr="00AC668C" w:rsidRDefault="001030FD" w:rsidP="001030F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/>
              </w:rPr>
            </w:pPr>
          </w:p>
        </w:tc>
        <w:tc>
          <w:tcPr>
            <w:tcW w:w="1279" w:type="dxa"/>
            <w:shd w:val="clear" w:color="auto" w:fill="A6A6A6" w:themeFill="background1" w:themeFillShade="A6"/>
            <w:vAlign w:val="center"/>
            <w:hideMark/>
          </w:tcPr>
          <w:p w14:paraId="1B10679E" w14:textId="77777777" w:rsidR="001030FD" w:rsidRDefault="001030FD" w:rsidP="001030F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/>
              </w:rPr>
              <w:t>Bewering</w:t>
            </w:r>
            <w:r>
              <w:t>*</w:t>
            </w:r>
          </w:p>
        </w:tc>
        <w:tc>
          <w:tcPr>
            <w:tcW w:w="5385" w:type="dxa"/>
            <w:shd w:val="clear" w:color="auto" w:fill="A6A6A6" w:themeFill="background1" w:themeFillShade="A6"/>
            <w:vAlign w:val="center"/>
            <w:hideMark/>
          </w:tcPr>
          <w:p w14:paraId="1B10679F" w14:textId="77777777" w:rsidR="001030FD" w:rsidRPr="00AC668C" w:rsidRDefault="001030FD" w:rsidP="001030F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/>
              </w:rPr>
            </w:pPr>
            <w:r w:rsidRPr="00AC66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/>
              </w:rPr>
              <w:t>Commentaar</w:t>
            </w:r>
          </w:p>
        </w:tc>
      </w:tr>
      <w:tr w:rsidR="00371F1A" w:rsidRPr="00C166EF" w14:paraId="1B1067A4" w14:textId="77777777" w:rsidTr="00352981">
        <w:trPr>
          <w:trHeight w:val="300"/>
        </w:trPr>
        <w:tc>
          <w:tcPr>
            <w:tcW w:w="6534" w:type="dxa"/>
            <w:shd w:val="clear" w:color="auto" w:fill="BFBFBF" w:themeFill="background1" w:themeFillShade="BF"/>
            <w:vAlign w:val="bottom"/>
            <w:hideMark/>
          </w:tcPr>
          <w:p w14:paraId="1B1067A1" w14:textId="77777777" w:rsidR="00371F1A" w:rsidRPr="00A539CB" w:rsidRDefault="00371F1A" w:rsidP="001030FD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nl-BE"/>
              </w:rPr>
            </w:pPr>
            <w:r w:rsidRPr="00A539CB">
              <w:rPr>
                <w:rFonts w:ascii="Arial" w:eastAsia="Times New Roman" w:hAnsi="Arial" w:cs="Arial"/>
                <w:b/>
                <w:sz w:val="20"/>
                <w:szCs w:val="20"/>
                <w:lang w:val="nl-BE"/>
              </w:rPr>
              <w:t xml:space="preserve">Transacties </w:t>
            </w:r>
            <w:r w:rsidR="001030FD">
              <w:rPr>
                <w:rFonts w:ascii="Arial" w:eastAsia="Times New Roman" w:hAnsi="Arial" w:cs="Arial"/>
                <w:b/>
                <w:sz w:val="20"/>
                <w:szCs w:val="20"/>
                <w:lang w:val="nl-BE"/>
              </w:rPr>
              <w:t>tussen</w:t>
            </w:r>
            <w:r w:rsidRPr="00A539CB">
              <w:rPr>
                <w:rFonts w:ascii="Arial" w:eastAsia="Times New Roman" w:hAnsi="Arial" w:cs="Arial"/>
                <w:b/>
                <w:sz w:val="20"/>
                <w:szCs w:val="20"/>
                <w:lang w:val="nl-BE"/>
              </w:rPr>
              <w:t xml:space="preserve"> verbonden partijen buiten het normale verloop van de activiteiten</w:t>
            </w:r>
          </w:p>
        </w:tc>
        <w:tc>
          <w:tcPr>
            <w:tcW w:w="1279" w:type="dxa"/>
            <w:shd w:val="clear" w:color="auto" w:fill="auto"/>
            <w:hideMark/>
          </w:tcPr>
          <w:p w14:paraId="1B1067A2" w14:textId="77777777" w:rsidR="00371F1A" w:rsidRPr="00C166EF" w:rsidRDefault="00306B05" w:rsidP="00A539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V</w:t>
            </w:r>
          </w:p>
        </w:tc>
        <w:tc>
          <w:tcPr>
            <w:tcW w:w="5385" w:type="dxa"/>
            <w:shd w:val="clear" w:color="auto" w:fill="auto"/>
            <w:hideMark/>
          </w:tcPr>
          <w:p w14:paraId="1B1067A3" w14:textId="77777777" w:rsidR="00371F1A" w:rsidRPr="00C166EF" w:rsidRDefault="00371F1A" w:rsidP="00A539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</w:tc>
      </w:tr>
      <w:tr w:rsidR="00AC668C" w:rsidRPr="00326C4F" w14:paraId="1B1067AA" w14:textId="77777777" w:rsidTr="00352981">
        <w:trPr>
          <w:trHeight w:val="263"/>
        </w:trPr>
        <w:tc>
          <w:tcPr>
            <w:tcW w:w="6534" w:type="dxa"/>
            <w:shd w:val="clear" w:color="auto" w:fill="auto"/>
            <w:vAlign w:val="bottom"/>
            <w:hideMark/>
          </w:tcPr>
          <w:p w14:paraId="1B1067A5" w14:textId="77777777" w:rsidR="00AC668C" w:rsidRPr="00C166EF" w:rsidRDefault="00AC668C" w:rsidP="00AA007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Bij identificatie van significante transacties met verbonden partijen buiten het normale verloop van de activiteiten van de entiteit, dienen de volgende werkzaamheden te worden uitgevoerd:</w:t>
            </w:r>
          </w:p>
          <w:p w14:paraId="1B1067A6" w14:textId="77777777" w:rsidR="00AC668C" w:rsidRPr="00C166EF" w:rsidRDefault="00CA08CC" w:rsidP="00AA007B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ind w:left="333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onderzoeken van</w:t>
            </w:r>
            <w:r w:rsidR="00AC668C"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aan de grondslag liggende contracten of overeenkomsten, en evalueren of: (i) de bedrijfsgrondslag van de transacties (o</w:t>
            </w:r>
            <w:r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f het gebrek hieraan) laat vermoeden</w:t>
            </w:r>
            <w:r w:rsidR="00AC668C"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dat deze transacties mogelijk werden aangegaan </w:t>
            </w:r>
            <w:r w:rsidR="002B770A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met het oog op </w:t>
            </w:r>
            <w:r w:rsidR="00AC668C"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frauduleu</w:t>
            </w:r>
            <w:r w:rsidR="002B770A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ze financiële informatie </w:t>
            </w:r>
            <w:r w:rsidR="00AC668C"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of om het oneigenlijk toe-eigenen van activa te verhullen; (ii) de voorwaarden van de transacties </w:t>
            </w:r>
            <w:r w:rsidR="008D3140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overeen</w:t>
            </w:r>
            <w:r w:rsidR="00AC668C"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stemmen met de toelichtingen van </w:t>
            </w:r>
            <w:r w:rsidR="008D3140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de leiding</w:t>
            </w:r>
            <w:r w:rsidR="00AC668C"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;</w:t>
            </w:r>
            <w:r w:rsidR="008D3140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</w:t>
            </w:r>
            <w:r w:rsidR="00AC668C"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en (iii) de transacties op een geschikte wijze </w:t>
            </w:r>
            <w:r w:rsidR="008D3140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werden </w:t>
            </w:r>
            <w:r w:rsidR="00AC668C"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openbaar gemaakt in overeenstemming met het van toepassing zijnd</w:t>
            </w:r>
            <w:r w:rsidR="00A77FAB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e</w:t>
            </w:r>
            <w:r w:rsidR="00AC668C"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stelsel inzake</w:t>
            </w:r>
            <w:r w:rsidR="00AC668C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</w:t>
            </w:r>
            <w:r w:rsidR="008D3140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financiële verslaggeving</w:t>
            </w:r>
            <w:r w:rsidR="00AC668C"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; en</w:t>
            </w:r>
          </w:p>
          <w:p w14:paraId="1B1067A7" w14:textId="77777777" w:rsidR="004D34D1" w:rsidRDefault="00AC668C">
            <w:pPr>
              <w:pStyle w:val="ListParagraph"/>
              <w:numPr>
                <w:ilvl w:val="0"/>
                <w:numId w:val="13"/>
              </w:numPr>
              <w:spacing w:before="60" w:after="60" w:line="240" w:lineRule="auto"/>
              <w:ind w:left="333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verkrijgen van controle-informatie dat de transacties op een geschikte wijze werden bekrachtigd en goedgekeurd.</w:t>
            </w:r>
          </w:p>
        </w:tc>
        <w:tc>
          <w:tcPr>
            <w:tcW w:w="1279" w:type="dxa"/>
            <w:shd w:val="clear" w:color="auto" w:fill="auto"/>
            <w:hideMark/>
          </w:tcPr>
          <w:p w14:paraId="1B1067A8" w14:textId="77777777" w:rsidR="00AC668C" w:rsidRPr="00C166EF" w:rsidRDefault="00AC668C" w:rsidP="00A539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5385" w:type="dxa"/>
            <w:shd w:val="clear" w:color="auto" w:fill="auto"/>
            <w:hideMark/>
          </w:tcPr>
          <w:p w14:paraId="1B1067A9" w14:textId="77777777" w:rsidR="00AC668C" w:rsidRPr="00351364" w:rsidRDefault="00AC668C" w:rsidP="00A539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</w:tc>
      </w:tr>
      <w:tr w:rsidR="000E4C93" w:rsidRPr="00C166EF" w14:paraId="1B1067AE" w14:textId="77777777" w:rsidTr="00352981">
        <w:trPr>
          <w:trHeight w:val="300"/>
        </w:trPr>
        <w:tc>
          <w:tcPr>
            <w:tcW w:w="6534" w:type="dxa"/>
            <w:shd w:val="clear" w:color="auto" w:fill="BFBFBF" w:themeFill="background1" w:themeFillShade="BF"/>
            <w:vAlign w:val="bottom"/>
            <w:hideMark/>
          </w:tcPr>
          <w:p w14:paraId="1B1067AB" w14:textId="77777777" w:rsidR="000E4C93" w:rsidRPr="00A539CB" w:rsidRDefault="000E4C93" w:rsidP="001030FD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nl-BE"/>
              </w:rPr>
            </w:pPr>
            <w:r w:rsidRPr="00A539CB">
              <w:rPr>
                <w:rFonts w:ascii="Arial" w:eastAsia="Times New Roman" w:hAnsi="Arial" w:cs="Arial"/>
                <w:b/>
                <w:sz w:val="20"/>
                <w:szCs w:val="20"/>
                <w:lang w:val="nl-BE"/>
              </w:rPr>
              <w:t xml:space="preserve">Transacties met verbonden partijen verricht </w:t>
            </w:r>
            <w:r w:rsidR="001030FD">
              <w:rPr>
                <w:rFonts w:ascii="Arial" w:eastAsia="Times New Roman" w:hAnsi="Arial" w:cs="Arial"/>
                <w:b/>
                <w:sz w:val="20"/>
                <w:szCs w:val="20"/>
                <w:lang w:val="nl-BE"/>
              </w:rPr>
              <w:t>in normale marktomstandigheden</w:t>
            </w:r>
            <w:r w:rsidR="00F62C5C">
              <w:rPr>
                <w:rFonts w:ascii="Arial" w:eastAsia="Times New Roman" w:hAnsi="Arial" w:cs="Arial"/>
                <w:b/>
                <w:sz w:val="20"/>
                <w:szCs w:val="20"/>
                <w:lang w:val="nl-BE"/>
              </w:rPr>
              <w:t xml:space="preserve"> (</w:t>
            </w:r>
            <w:r w:rsidR="00F62C5C" w:rsidRPr="00AA007B">
              <w:rPr>
                <w:rFonts w:ascii="Arial" w:eastAsia="Times New Roman" w:hAnsi="Arial" w:cs="Arial"/>
                <w:b/>
                <w:i/>
                <w:sz w:val="20"/>
                <w:szCs w:val="20"/>
                <w:lang w:val="nl-BE"/>
              </w:rPr>
              <w:t xml:space="preserve">at </w:t>
            </w:r>
            <w:r w:rsidRPr="00023E3F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nl-BE"/>
              </w:rPr>
              <w:t>arm</w:t>
            </w:r>
            <w:r w:rsidR="00561C64" w:rsidRPr="00023E3F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nl-BE"/>
              </w:rPr>
              <w:t>’</w:t>
            </w:r>
            <w:r w:rsidRPr="00023E3F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nl-BE"/>
              </w:rPr>
              <w:t xml:space="preserve">s </w:t>
            </w:r>
            <w:r w:rsidR="005807E9" w:rsidRPr="00023E3F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nl-BE"/>
              </w:rPr>
              <w:t>length</w:t>
            </w:r>
            <w:r w:rsidR="00F62C5C">
              <w:rPr>
                <w:rFonts w:ascii="Arial" w:eastAsia="Times New Roman" w:hAnsi="Arial" w:cs="Arial"/>
                <w:b/>
                <w:sz w:val="20"/>
                <w:szCs w:val="20"/>
                <w:lang w:val="nl-BE"/>
              </w:rPr>
              <w:t>)</w:t>
            </w:r>
          </w:p>
        </w:tc>
        <w:tc>
          <w:tcPr>
            <w:tcW w:w="1279" w:type="dxa"/>
            <w:shd w:val="clear" w:color="auto" w:fill="auto"/>
            <w:hideMark/>
          </w:tcPr>
          <w:p w14:paraId="1B1067AC" w14:textId="77777777" w:rsidR="000E4C93" w:rsidRPr="00C166EF" w:rsidRDefault="000E4C93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A</w:t>
            </w:r>
            <w:r w:rsidR="00306B05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W</w:t>
            </w:r>
          </w:p>
        </w:tc>
        <w:tc>
          <w:tcPr>
            <w:tcW w:w="5385" w:type="dxa"/>
            <w:shd w:val="clear" w:color="auto" w:fill="auto"/>
            <w:hideMark/>
          </w:tcPr>
          <w:p w14:paraId="1B1067AD" w14:textId="77777777" w:rsidR="000E4C93" w:rsidRPr="00C166EF" w:rsidRDefault="000E4C93" w:rsidP="00A539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</w:tc>
      </w:tr>
      <w:tr w:rsidR="00AC668C" w:rsidRPr="00326C4F" w14:paraId="1B1067B8" w14:textId="77777777" w:rsidTr="00352981">
        <w:trPr>
          <w:trHeight w:val="475"/>
        </w:trPr>
        <w:tc>
          <w:tcPr>
            <w:tcW w:w="6534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B1067AF" w14:textId="77777777" w:rsidR="00AC668C" w:rsidRPr="00C166EF" w:rsidRDefault="00AC668C" w:rsidP="00AA007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Indien </w:t>
            </w:r>
            <w:r w:rsidR="00F62C5C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de leiding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een </w:t>
            </w:r>
            <w:r w:rsidR="00561C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waardering 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heeft </w:t>
            </w:r>
            <w:r w:rsidR="00561C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verricht 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met als resultaat dat een transactie met verbonden partijen werd afgesloten onder voorwaarden gelijkwaardig met deze geldend in een transactie</w:t>
            </w:r>
            <w:r w:rsidR="001030FD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verricht aan </w:t>
            </w:r>
            <w:r w:rsidR="001030FD" w:rsidRPr="001030FD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normale marktomstandigheden</w:t>
            </w:r>
            <w:r w:rsidR="001030FD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</w:t>
            </w:r>
            <w:r w:rsidR="00561C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(</w:t>
            </w:r>
            <w:r w:rsidR="00561C64" w:rsidRPr="00AA007B">
              <w:rPr>
                <w:rFonts w:ascii="Arial" w:eastAsia="Times New Roman" w:hAnsi="Arial" w:cs="Arial"/>
                <w:i/>
                <w:sz w:val="20"/>
                <w:szCs w:val="20"/>
                <w:lang w:val="nl-BE"/>
              </w:rPr>
              <w:t xml:space="preserve">at </w:t>
            </w:r>
            <w:r w:rsidR="00561C64" w:rsidRPr="00023E3F"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BE"/>
              </w:rPr>
              <w:t>arm’s length</w:t>
            </w:r>
            <w:r w:rsidR="00561C64"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BE"/>
              </w:rPr>
              <w:t>)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, dienen de volgende werkzaamheden te worden uitgevoerd: </w:t>
            </w:r>
          </w:p>
          <w:p w14:paraId="1B1067B0" w14:textId="77777777" w:rsidR="00AC668C" w:rsidRPr="00C166EF" w:rsidRDefault="00AC668C" w:rsidP="00AA007B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333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in overweging nemen van de geschiktheid van het </w:t>
            </w:r>
            <w:r w:rsidR="00561C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door de leiding gevolg</w:t>
            </w:r>
            <w:r w:rsidR="00EC6C53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de</w:t>
            </w:r>
            <w:r w:rsidR="00561C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proces voor het onderbouwen van de </w:t>
            </w:r>
            <w:r w:rsidR="00561C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waardering</w:t>
            </w:r>
            <w:r w:rsidR="00EC6C53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. 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Het onderbouwen van de </w:t>
            </w:r>
            <w:r w:rsidR="00561C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waardering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door </w:t>
            </w:r>
            <w:r w:rsidR="00561C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de leiding 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kan omvatten: </w:t>
            </w:r>
          </w:p>
          <w:p w14:paraId="1B1067B1" w14:textId="77777777" w:rsidR="00AC668C" w:rsidRPr="00C166EF" w:rsidRDefault="00AC668C" w:rsidP="00AA007B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ind w:left="616" w:hanging="283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vergelijken van de v</w:t>
            </w:r>
            <w:r w:rsidR="00EC6C53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oorwaarden van de transactie</w:t>
            </w:r>
            <w:r w:rsidR="00794C03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s tussen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de verbonden partij</w:t>
            </w:r>
            <w:r w:rsidR="00794C03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en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met deze van een identieke of gelijksoortige transactie met één of meer</w:t>
            </w:r>
            <w:r w:rsidR="00007303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niet-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verbonden partijen; </w:t>
            </w:r>
          </w:p>
          <w:p w14:paraId="1B1067B2" w14:textId="77777777" w:rsidR="00AC668C" w:rsidRPr="00C166EF" w:rsidRDefault="00AC668C" w:rsidP="00AA007B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ind w:left="616" w:hanging="283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benoemen van een extern deskundige om </w:t>
            </w:r>
            <w:r w:rsidR="007D4CF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de 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marktwaarde te bepalen en </w:t>
            </w:r>
            <w:r w:rsidR="00EC6C53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de 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marktvoorwaarden en</w:t>
            </w:r>
            <w:r w:rsidR="00EC6C53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</w:t>
            </w:r>
            <w:r w:rsidR="00794C03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voorwaarden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voor de transactie te bevestigen; </w:t>
            </w:r>
          </w:p>
          <w:p w14:paraId="1B1067B3" w14:textId="77777777" w:rsidR="00AC668C" w:rsidRPr="00C166EF" w:rsidRDefault="00AC668C" w:rsidP="00AA007B">
            <w:pPr>
              <w:pStyle w:val="ListParagraph"/>
              <w:numPr>
                <w:ilvl w:val="0"/>
                <w:numId w:val="15"/>
              </w:numPr>
              <w:spacing w:before="60" w:after="60" w:line="240" w:lineRule="auto"/>
              <w:ind w:left="616" w:hanging="283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vergelijken van de voorwaarden van de transactie</w:t>
            </w:r>
            <w:r w:rsidR="00794C03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s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tegen 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lastRenderedPageBreak/>
              <w:t xml:space="preserve">gekende marktvoorwaarden voor gelijksoortige </w:t>
            </w:r>
            <w:r w:rsidR="007D4CF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buitenlandse 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openmarkttransacti</w:t>
            </w:r>
            <w:r w:rsidR="007D4CF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es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;</w:t>
            </w:r>
          </w:p>
          <w:p w14:paraId="1B1067B4" w14:textId="77777777" w:rsidR="00AC668C" w:rsidRPr="00351364" w:rsidRDefault="00AC668C" w:rsidP="00AA007B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333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controleren van de interne of externe</w:t>
            </w:r>
            <w:r w:rsidR="007D4CF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bron van</w:t>
            </w:r>
            <w:r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gegevens die de </w:t>
            </w:r>
            <w:r w:rsidR="007D4CF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waardering</w:t>
            </w:r>
            <w:r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onderbouwen en toetsen van de gegevens ter bepaling van hun juistheid, </w:t>
            </w:r>
            <w:r w:rsidR="007D4CF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volledigheid</w:t>
            </w:r>
            <w:r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en relevantie; </w:t>
            </w:r>
          </w:p>
          <w:p w14:paraId="1B1067B5" w14:textId="77777777" w:rsidR="00AC668C" w:rsidRPr="00351364" w:rsidRDefault="00AC668C" w:rsidP="00AA007B">
            <w:pPr>
              <w:pStyle w:val="ListParagraph"/>
              <w:numPr>
                <w:ilvl w:val="0"/>
                <w:numId w:val="14"/>
              </w:numPr>
              <w:spacing w:before="60" w:after="60" w:line="240" w:lineRule="auto"/>
              <w:ind w:left="333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evalueren van de redelijkheid van alle significante veronderstellingen waarop de </w:t>
            </w:r>
            <w:r w:rsidR="007D4CF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waardering</w:t>
            </w:r>
            <w:r w:rsidRPr="00351364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is gebaseerd.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B1067B6" w14:textId="77777777" w:rsidR="00AC668C" w:rsidRPr="00351364" w:rsidRDefault="00AC668C" w:rsidP="00A539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538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B1067B7" w14:textId="77777777" w:rsidR="00AC668C" w:rsidRPr="00532A46" w:rsidRDefault="00AC668C" w:rsidP="00A539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</w:tc>
      </w:tr>
      <w:tr w:rsidR="000E4C93" w:rsidRPr="00C166EF" w14:paraId="1B1067BC" w14:textId="77777777" w:rsidTr="00352981">
        <w:trPr>
          <w:trHeight w:val="353"/>
        </w:trPr>
        <w:tc>
          <w:tcPr>
            <w:tcW w:w="65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B1067B9" w14:textId="77777777" w:rsidR="000E4C93" w:rsidRPr="00A539CB" w:rsidRDefault="000E4C93" w:rsidP="00AA007B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A539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/>
              </w:rPr>
              <w:t>Bevestigingen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14:paraId="1B1067BA" w14:textId="77777777" w:rsidR="000E4C93" w:rsidRPr="00C166EF" w:rsidRDefault="00306B05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VB</w:t>
            </w:r>
            <w:r w:rsidR="000E4C93"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W</w:t>
            </w:r>
          </w:p>
        </w:tc>
        <w:tc>
          <w:tcPr>
            <w:tcW w:w="5385" w:type="dxa"/>
            <w:tcBorders>
              <w:bottom w:val="single" w:sz="4" w:space="0" w:color="auto"/>
            </w:tcBorders>
            <w:shd w:val="clear" w:color="auto" w:fill="auto"/>
          </w:tcPr>
          <w:p w14:paraId="1B1067BB" w14:textId="77777777" w:rsidR="000E4C93" w:rsidRPr="00C166EF" w:rsidRDefault="000E4C93" w:rsidP="00A539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</w:tc>
      </w:tr>
      <w:tr w:rsidR="00AC668C" w:rsidRPr="00326C4F" w14:paraId="1B1067C2" w14:textId="77777777" w:rsidTr="00352981">
        <w:trPr>
          <w:trHeight w:val="1725"/>
        </w:trPr>
        <w:tc>
          <w:tcPr>
            <w:tcW w:w="653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B1067BD" w14:textId="77777777" w:rsidR="00AC668C" w:rsidRPr="00C166EF" w:rsidRDefault="00AC668C" w:rsidP="00AA007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Verkrijgen van schriftelijke bevestigingen van </w:t>
            </w:r>
            <w:r w:rsidR="007D4CF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de cliënt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met betrekking tot:</w:t>
            </w:r>
          </w:p>
          <w:p w14:paraId="1B1067BE" w14:textId="77777777" w:rsidR="00AC668C" w:rsidRPr="00C166EF" w:rsidRDefault="00AC668C" w:rsidP="00AA007B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ind w:left="333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de volledigheid van verstrekte informatie betreffende de identificatie van verbonden partijen;</w:t>
            </w:r>
          </w:p>
          <w:p w14:paraId="1B1067BF" w14:textId="77777777" w:rsidR="00AC668C" w:rsidRPr="00C166EF" w:rsidRDefault="00AC668C" w:rsidP="00EC6C53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ind w:left="333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C166EF">
              <w:rPr>
                <w:rFonts w:ascii="Arial" w:eastAsia="Times New Roman" w:hAnsi="Arial" w:cs="Arial"/>
                <w:color w:val="000000"/>
                <w:sz w:val="20"/>
                <w:szCs w:val="20"/>
                <w:lang w:val="nl-BE"/>
              </w:rPr>
              <w:t xml:space="preserve">het adequaat zijn van </w:t>
            </w:r>
            <w:r w:rsidR="00EC6C53">
              <w:rPr>
                <w:rFonts w:ascii="Arial" w:eastAsia="Times New Roman" w:hAnsi="Arial" w:cs="Arial"/>
                <w:color w:val="000000"/>
                <w:sz w:val="20"/>
                <w:szCs w:val="20"/>
                <w:lang w:val="nl-BE"/>
              </w:rPr>
              <w:t xml:space="preserve">de </w:t>
            </w:r>
            <w:r w:rsidRPr="00C166EF">
              <w:rPr>
                <w:rFonts w:ascii="Arial" w:eastAsia="Times New Roman" w:hAnsi="Arial" w:cs="Arial"/>
                <w:color w:val="000000"/>
                <w:sz w:val="20"/>
                <w:szCs w:val="20"/>
                <w:lang w:val="nl-BE"/>
              </w:rPr>
              <w:t xml:space="preserve">toelichtingen </w:t>
            </w:r>
            <w:r w:rsidR="007D4CFF" w:rsidRPr="007D4CFF">
              <w:rPr>
                <w:rFonts w:ascii="Arial" w:eastAsia="Times New Roman" w:hAnsi="Arial" w:cs="Arial"/>
                <w:color w:val="000000"/>
                <w:sz w:val="20"/>
                <w:szCs w:val="20"/>
                <w:lang w:val="nl-BE"/>
              </w:rPr>
              <w:t>in de jaarrekening</w:t>
            </w:r>
            <w:r w:rsidR="007D4CFF">
              <w:rPr>
                <w:rFonts w:ascii="Arial" w:eastAsia="Times New Roman" w:hAnsi="Arial" w:cs="Arial"/>
                <w:color w:val="000000"/>
                <w:sz w:val="20"/>
                <w:szCs w:val="20"/>
                <w:lang w:val="nl-BE"/>
              </w:rPr>
              <w:t xml:space="preserve"> met betrekking tot de </w:t>
            </w:r>
            <w:r w:rsidRPr="00C166EF">
              <w:rPr>
                <w:rFonts w:ascii="Arial" w:eastAsia="Times New Roman" w:hAnsi="Arial" w:cs="Arial"/>
                <w:color w:val="000000"/>
                <w:sz w:val="20"/>
                <w:szCs w:val="20"/>
                <w:lang w:val="nl-BE"/>
              </w:rPr>
              <w:t>verbonden partijen.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B1067C0" w14:textId="77777777" w:rsidR="00AC668C" w:rsidRPr="00C166EF" w:rsidRDefault="00AC668C" w:rsidP="00A539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B1067C1" w14:textId="77777777" w:rsidR="00AC668C" w:rsidRPr="00C166EF" w:rsidRDefault="00AC668C" w:rsidP="00A539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</w:tc>
      </w:tr>
      <w:tr w:rsidR="00532A46" w:rsidRPr="00326C4F" w14:paraId="1B1067C6" w14:textId="77777777" w:rsidTr="00352981">
        <w:trPr>
          <w:trHeight w:val="437"/>
        </w:trPr>
        <w:tc>
          <w:tcPr>
            <w:tcW w:w="653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B1067C3" w14:textId="77777777" w:rsidR="00532A46" w:rsidRPr="00A539CB" w:rsidRDefault="00802C9D" w:rsidP="00AA007B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/>
              </w:rPr>
              <w:t xml:space="preserve">Weergave </w:t>
            </w:r>
            <w:r w:rsidR="00532A46" w:rsidRPr="00A539CB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/>
              </w:rPr>
              <w:t xml:space="preserve">en toelichting van de </w:t>
            </w:r>
            <w:r w:rsidR="00FB2BB7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/>
              </w:rPr>
              <w:t>jaarrekening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067C4" w14:textId="77777777" w:rsidR="00532A46" w:rsidRPr="00C166EF" w:rsidRDefault="00532A46" w:rsidP="00A539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067C5" w14:textId="77777777" w:rsidR="00532A46" w:rsidRPr="00C166EF" w:rsidRDefault="00532A46" w:rsidP="00A539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</w:tc>
      </w:tr>
      <w:tr w:rsidR="00AC668C" w:rsidRPr="00326C4F" w14:paraId="1B1067CA" w14:textId="77777777" w:rsidTr="00352981">
        <w:trPr>
          <w:trHeight w:val="1462"/>
        </w:trPr>
        <w:tc>
          <w:tcPr>
            <w:tcW w:w="6534" w:type="dxa"/>
            <w:tcBorders>
              <w:top w:val="single" w:sz="4" w:space="0" w:color="auto"/>
            </w:tcBorders>
            <w:shd w:val="clear" w:color="auto" w:fill="auto"/>
          </w:tcPr>
          <w:p w14:paraId="1B1067C7" w14:textId="77777777" w:rsidR="00AC668C" w:rsidRPr="00C166EF" w:rsidRDefault="00AC668C" w:rsidP="00794C0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Zich ervan vergewissen dat </w:t>
            </w:r>
            <w:r w:rsidR="00794C03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de 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transacties </w:t>
            </w:r>
            <w:r w:rsidR="00794C03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tussen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verbonden partijen op adequate wijze in de </w:t>
            </w:r>
            <w:r w:rsidR="00802C9D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jaarrekening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worden toegelicht in overeenstemming met het van toepassing zijnd</w:t>
            </w:r>
            <w:r w:rsidR="00EC6C53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e</w:t>
            </w:r>
            <w:r w:rsidR="00802C9D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stelsel inzake financiële verslaggeving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067C8" w14:textId="77777777" w:rsidR="00AC668C" w:rsidRPr="00C166EF" w:rsidRDefault="00AC668C" w:rsidP="00A539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067C9" w14:textId="77777777" w:rsidR="00AC668C" w:rsidRPr="00C166EF" w:rsidRDefault="00AC668C" w:rsidP="00A539C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</w:p>
        </w:tc>
      </w:tr>
      <w:tr w:rsidR="00C557B7" w:rsidRPr="00C166EF" w14:paraId="1B1067CC" w14:textId="77777777" w:rsidTr="00786F8F">
        <w:trPr>
          <w:trHeight w:val="300"/>
        </w:trPr>
        <w:tc>
          <w:tcPr>
            <w:tcW w:w="13198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14:paraId="1B1067CB" w14:textId="77777777" w:rsidR="00C557B7" w:rsidRPr="00C166EF" w:rsidRDefault="00352981" w:rsidP="00AA007B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C333F8">
              <w:rPr>
                <w:lang w:val="nl-BE"/>
              </w:rPr>
              <w:br w:type="page"/>
            </w:r>
            <w:r w:rsidR="00C557B7" w:rsidRPr="00C166EF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BE"/>
              </w:rPr>
              <w:t>CONCLUSIES</w:t>
            </w:r>
          </w:p>
        </w:tc>
      </w:tr>
      <w:tr w:rsidR="00C557B7" w:rsidRPr="00326C4F" w14:paraId="1B1067CF" w14:textId="77777777" w:rsidTr="00794C03">
        <w:trPr>
          <w:trHeight w:val="1022"/>
        </w:trPr>
        <w:tc>
          <w:tcPr>
            <w:tcW w:w="13198" w:type="dxa"/>
            <w:gridSpan w:val="3"/>
            <w:shd w:val="clear" w:color="auto" w:fill="auto"/>
            <w:noWrap/>
            <w:hideMark/>
          </w:tcPr>
          <w:p w14:paraId="1B1067CD" w14:textId="77777777" w:rsidR="00C557B7" w:rsidRPr="00C166EF" w:rsidRDefault="00C557B7" w:rsidP="00794C0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Het risico van een afwijking van materieel belang werd teruggebracht naar een aanvaardbaar laag niveau.</w:t>
            </w:r>
          </w:p>
          <w:p w14:paraId="1B1067CE" w14:textId="77777777" w:rsidR="00C557B7" w:rsidRPr="00C166EF" w:rsidRDefault="00C557B7" w:rsidP="00794C0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Ingeval wij niet in staat zijn om voldoende geschikte controle-informatie te verkrijgen met betrekking tot verbonden partijen </w:t>
            </w:r>
            <w:r w:rsidR="00306B05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of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transacties met dergelijke partijen of </w:t>
            </w:r>
            <w:r w:rsidR="00EC6C53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om 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tot de conclusie </w:t>
            </w:r>
            <w:r w:rsidR="00EC6C53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te 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komen dat hun toelichting in de </w:t>
            </w:r>
            <w:r w:rsidR="00306B05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jaarrekening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adequaat is, </w:t>
            </w:r>
            <w:r w:rsidR="00306B05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dienen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wij </w:t>
            </w:r>
            <w:r w:rsidR="00794C03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bijgevolg 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on</w:t>
            </w:r>
            <w:r w:rsidR="00794C03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s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 verslag </w:t>
            </w:r>
            <w:r w:rsidR="00306B05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 xml:space="preserve">te </w:t>
            </w:r>
            <w:r w:rsidRPr="00C166EF">
              <w:rPr>
                <w:rFonts w:ascii="Arial" w:eastAsia="Times New Roman" w:hAnsi="Arial" w:cs="Arial"/>
                <w:sz w:val="20"/>
                <w:szCs w:val="20"/>
                <w:lang w:val="nl-BE"/>
              </w:rPr>
              <w:t>wijzigen.</w:t>
            </w:r>
          </w:p>
        </w:tc>
      </w:tr>
    </w:tbl>
    <w:p w14:paraId="1B1067D0" w14:textId="77777777" w:rsidR="00352981" w:rsidRDefault="00352981" w:rsidP="00305BEC">
      <w:pPr>
        <w:jc w:val="center"/>
        <w:rPr>
          <w:rFonts w:ascii="Arial" w:hAnsi="Arial" w:cs="Arial"/>
          <w:sz w:val="20"/>
          <w:szCs w:val="20"/>
          <w:lang w:val="nl-BE"/>
        </w:rPr>
      </w:pPr>
    </w:p>
    <w:tbl>
      <w:tblPr>
        <w:tblW w:w="131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12"/>
        <w:gridCol w:w="2977"/>
        <w:gridCol w:w="1276"/>
        <w:gridCol w:w="3118"/>
      </w:tblGrid>
      <w:tr w:rsidR="0013236B" w:rsidRPr="000238CF" w14:paraId="1B1067D5" w14:textId="77777777" w:rsidTr="0013236B">
        <w:trPr>
          <w:trHeight w:val="353"/>
        </w:trPr>
        <w:tc>
          <w:tcPr>
            <w:tcW w:w="5812" w:type="dxa"/>
            <w:shd w:val="clear" w:color="auto" w:fill="auto"/>
          </w:tcPr>
          <w:p w14:paraId="1B1067D1" w14:textId="77777777" w:rsidR="0013236B" w:rsidRPr="000238CF" w:rsidRDefault="0013236B" w:rsidP="0013236B">
            <w:pPr>
              <w:tabs>
                <w:tab w:val="left" w:pos="7920"/>
              </w:tabs>
              <w:spacing w:before="60" w:after="60" w:line="240" w:lineRule="auto"/>
              <w:rPr>
                <w:rFonts w:ascii="Arial" w:eastAsia="ヒラギノ角ゴ Pro W3" w:hAnsi="Arial" w:cs="Arial"/>
                <w:sz w:val="20"/>
                <w:szCs w:val="20"/>
                <w:lang w:val="nl-BE" w:eastAsia="nl-BE"/>
              </w:rPr>
            </w:pPr>
            <w:r w:rsidRPr="000238CF">
              <w:rPr>
                <w:rFonts w:ascii="Arial" w:eastAsia="ヒラギノ角ゴ Pro W3" w:hAnsi="Arial" w:cs="Arial"/>
                <w:sz w:val="20"/>
                <w:szCs w:val="20"/>
                <w:lang w:val="nl-BE" w:eastAsia="nl-BE"/>
              </w:rPr>
              <w:t>Voorbereid door</w:t>
            </w:r>
            <w:r>
              <w:rPr>
                <w:rFonts w:ascii="Arial" w:eastAsia="ヒラギノ角ゴ Pro W3" w:hAnsi="Arial" w:cs="Arial"/>
                <w:sz w:val="20"/>
                <w:szCs w:val="20"/>
                <w:lang w:val="nl-BE" w:eastAsia="nl-BE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1B1067D2" w14:textId="77777777" w:rsidR="0013236B" w:rsidRPr="000238CF" w:rsidRDefault="0013236B" w:rsidP="0013236B">
            <w:pPr>
              <w:tabs>
                <w:tab w:val="left" w:pos="7920"/>
              </w:tabs>
              <w:spacing w:before="60" w:after="60" w:line="240" w:lineRule="auto"/>
              <w:rPr>
                <w:rFonts w:ascii="Arial" w:eastAsia="ヒラギノ角ゴ Pro W3" w:hAnsi="Arial" w:cs="Arial"/>
                <w:sz w:val="20"/>
                <w:szCs w:val="20"/>
                <w:lang w:val="nl-BE" w:eastAsia="nl-BE"/>
              </w:rPr>
            </w:pPr>
          </w:p>
        </w:tc>
        <w:tc>
          <w:tcPr>
            <w:tcW w:w="1276" w:type="dxa"/>
            <w:shd w:val="clear" w:color="auto" w:fill="auto"/>
          </w:tcPr>
          <w:p w14:paraId="1B1067D3" w14:textId="77777777" w:rsidR="0013236B" w:rsidRPr="000238CF" w:rsidRDefault="0013236B" w:rsidP="0013236B">
            <w:pPr>
              <w:tabs>
                <w:tab w:val="left" w:pos="7920"/>
              </w:tabs>
              <w:spacing w:before="60" w:after="60" w:line="240" w:lineRule="auto"/>
              <w:rPr>
                <w:rFonts w:ascii="Arial" w:eastAsia="ヒラギノ角ゴ Pro W3" w:hAnsi="Arial" w:cs="Arial"/>
                <w:sz w:val="20"/>
                <w:szCs w:val="20"/>
                <w:lang w:val="nl-BE" w:eastAsia="nl-BE"/>
              </w:rPr>
            </w:pPr>
            <w:r w:rsidRPr="000238CF">
              <w:rPr>
                <w:rFonts w:ascii="Arial" w:eastAsia="ヒラギノ角ゴ Pro W3" w:hAnsi="Arial" w:cs="Arial"/>
                <w:sz w:val="20"/>
                <w:szCs w:val="20"/>
                <w:lang w:val="nl-BE" w:eastAsia="nl-BE"/>
              </w:rPr>
              <w:t>Datum</w:t>
            </w:r>
          </w:p>
        </w:tc>
        <w:tc>
          <w:tcPr>
            <w:tcW w:w="3118" w:type="dxa"/>
            <w:shd w:val="clear" w:color="auto" w:fill="auto"/>
          </w:tcPr>
          <w:p w14:paraId="1B1067D4" w14:textId="77777777" w:rsidR="0013236B" w:rsidRPr="000238CF" w:rsidRDefault="0013236B" w:rsidP="0013236B">
            <w:pPr>
              <w:tabs>
                <w:tab w:val="left" w:pos="7920"/>
              </w:tabs>
              <w:spacing w:before="60" w:after="60" w:line="240" w:lineRule="auto"/>
              <w:rPr>
                <w:rFonts w:ascii="Arial" w:eastAsia="ヒラギノ角ゴ Pro W3" w:hAnsi="Arial" w:cs="Arial"/>
                <w:sz w:val="20"/>
                <w:szCs w:val="20"/>
                <w:lang w:val="nl-BE" w:eastAsia="nl-BE"/>
              </w:rPr>
            </w:pPr>
          </w:p>
        </w:tc>
      </w:tr>
      <w:tr w:rsidR="0013236B" w:rsidRPr="000238CF" w14:paraId="1B1067DA" w14:textId="77777777" w:rsidTr="0013236B">
        <w:trPr>
          <w:trHeight w:val="352"/>
        </w:trPr>
        <w:tc>
          <w:tcPr>
            <w:tcW w:w="5812" w:type="dxa"/>
            <w:shd w:val="clear" w:color="auto" w:fill="auto"/>
          </w:tcPr>
          <w:p w14:paraId="1B1067D6" w14:textId="77777777" w:rsidR="0013236B" w:rsidRPr="000238CF" w:rsidRDefault="0013236B" w:rsidP="0013236B">
            <w:pPr>
              <w:tabs>
                <w:tab w:val="left" w:pos="7920"/>
              </w:tabs>
              <w:spacing w:before="60" w:after="60" w:line="240" w:lineRule="auto"/>
              <w:rPr>
                <w:rFonts w:ascii="Arial" w:eastAsia="ヒラギノ角ゴ Pro W3" w:hAnsi="Arial" w:cs="Arial"/>
                <w:sz w:val="20"/>
                <w:szCs w:val="20"/>
                <w:lang w:val="nl-BE" w:eastAsia="nl-BE"/>
              </w:rPr>
            </w:pPr>
            <w:r w:rsidRPr="0013236B">
              <w:rPr>
                <w:rFonts w:ascii="Arial" w:eastAsia="ヒラギノ角ゴ Pro W3" w:hAnsi="Arial" w:cs="Arial"/>
                <w:i/>
                <w:sz w:val="20"/>
                <w:szCs w:val="20"/>
                <w:lang w:val="nl-BE" w:eastAsia="nl-BE"/>
              </w:rPr>
              <w:t>Review</w:t>
            </w:r>
            <w:r w:rsidRPr="000238CF">
              <w:rPr>
                <w:rFonts w:ascii="Arial" w:eastAsia="ヒラギノ角ゴ Pro W3" w:hAnsi="Arial" w:cs="Arial"/>
                <w:sz w:val="20"/>
                <w:szCs w:val="20"/>
                <w:lang w:val="nl-BE" w:eastAsia="nl-BE"/>
              </w:rPr>
              <w:t xml:space="preserve"> door</w:t>
            </w:r>
            <w:r>
              <w:rPr>
                <w:rFonts w:ascii="Arial" w:eastAsia="ヒラギノ角ゴ Pro W3" w:hAnsi="Arial" w:cs="Arial"/>
                <w:sz w:val="20"/>
                <w:szCs w:val="20"/>
                <w:lang w:val="nl-BE" w:eastAsia="nl-BE"/>
              </w:rPr>
              <w:t xml:space="preserve"> de voor de opdracht verantwoordelijke vennoot</w:t>
            </w:r>
          </w:p>
        </w:tc>
        <w:tc>
          <w:tcPr>
            <w:tcW w:w="2977" w:type="dxa"/>
            <w:shd w:val="clear" w:color="auto" w:fill="auto"/>
          </w:tcPr>
          <w:p w14:paraId="1B1067D7" w14:textId="77777777" w:rsidR="0013236B" w:rsidRPr="000238CF" w:rsidRDefault="0013236B" w:rsidP="0013236B">
            <w:pPr>
              <w:tabs>
                <w:tab w:val="left" w:pos="7920"/>
              </w:tabs>
              <w:spacing w:before="60" w:after="60" w:line="240" w:lineRule="auto"/>
              <w:rPr>
                <w:rFonts w:ascii="Arial" w:eastAsia="ヒラギノ角ゴ Pro W3" w:hAnsi="Arial" w:cs="Arial"/>
                <w:sz w:val="20"/>
                <w:szCs w:val="20"/>
                <w:lang w:val="nl-BE" w:eastAsia="nl-BE"/>
              </w:rPr>
            </w:pPr>
          </w:p>
        </w:tc>
        <w:tc>
          <w:tcPr>
            <w:tcW w:w="1276" w:type="dxa"/>
            <w:shd w:val="clear" w:color="auto" w:fill="auto"/>
          </w:tcPr>
          <w:p w14:paraId="1B1067D8" w14:textId="77777777" w:rsidR="0013236B" w:rsidRPr="000238CF" w:rsidRDefault="0013236B" w:rsidP="0013236B">
            <w:pPr>
              <w:tabs>
                <w:tab w:val="left" w:pos="7920"/>
              </w:tabs>
              <w:spacing w:before="60" w:after="60" w:line="240" w:lineRule="auto"/>
              <w:rPr>
                <w:rFonts w:ascii="Arial" w:eastAsia="ヒラギノ角ゴ Pro W3" w:hAnsi="Arial" w:cs="Arial"/>
                <w:sz w:val="20"/>
                <w:szCs w:val="20"/>
                <w:lang w:val="nl-BE" w:eastAsia="nl-BE"/>
              </w:rPr>
            </w:pPr>
            <w:r w:rsidRPr="000238CF">
              <w:rPr>
                <w:rFonts w:ascii="Arial" w:eastAsia="ヒラギノ角ゴ Pro W3" w:hAnsi="Arial" w:cs="Arial"/>
                <w:sz w:val="20"/>
                <w:szCs w:val="20"/>
                <w:lang w:val="nl-BE" w:eastAsia="nl-BE"/>
              </w:rPr>
              <w:t>Datum</w:t>
            </w:r>
          </w:p>
        </w:tc>
        <w:tc>
          <w:tcPr>
            <w:tcW w:w="3118" w:type="dxa"/>
            <w:shd w:val="clear" w:color="auto" w:fill="auto"/>
          </w:tcPr>
          <w:p w14:paraId="1B1067D9" w14:textId="77777777" w:rsidR="0013236B" w:rsidRPr="000238CF" w:rsidRDefault="0013236B" w:rsidP="0013236B">
            <w:pPr>
              <w:tabs>
                <w:tab w:val="left" w:pos="7920"/>
              </w:tabs>
              <w:spacing w:before="60" w:after="60" w:line="240" w:lineRule="auto"/>
              <w:rPr>
                <w:rFonts w:ascii="Arial" w:eastAsia="ヒラギノ角ゴ Pro W3" w:hAnsi="Arial" w:cs="Arial"/>
                <w:sz w:val="20"/>
                <w:szCs w:val="20"/>
                <w:lang w:val="nl-BE" w:eastAsia="nl-BE"/>
              </w:rPr>
            </w:pPr>
          </w:p>
        </w:tc>
      </w:tr>
      <w:tr w:rsidR="0013236B" w:rsidRPr="00972640" w14:paraId="1B1067DF" w14:textId="77777777" w:rsidTr="0013236B">
        <w:trPr>
          <w:trHeight w:val="352"/>
        </w:trPr>
        <w:tc>
          <w:tcPr>
            <w:tcW w:w="5812" w:type="dxa"/>
            <w:shd w:val="clear" w:color="auto" w:fill="auto"/>
          </w:tcPr>
          <w:p w14:paraId="1B1067DB" w14:textId="77777777" w:rsidR="0013236B" w:rsidRPr="000238CF" w:rsidRDefault="0013236B" w:rsidP="0013236B">
            <w:pPr>
              <w:tabs>
                <w:tab w:val="left" w:pos="7920"/>
              </w:tabs>
              <w:spacing w:before="60" w:after="60" w:line="240" w:lineRule="auto"/>
              <w:rPr>
                <w:rFonts w:ascii="Arial" w:eastAsia="ヒラギノ角ゴ Pro W3" w:hAnsi="Arial" w:cs="Arial"/>
                <w:sz w:val="20"/>
                <w:szCs w:val="20"/>
                <w:lang w:val="nl-BE" w:eastAsia="nl-BE"/>
              </w:rPr>
            </w:pPr>
            <w:r w:rsidRPr="0013236B">
              <w:rPr>
                <w:rFonts w:ascii="Arial" w:eastAsia="ヒラギノ角ゴ Pro W3" w:hAnsi="Arial" w:cs="Arial"/>
                <w:i/>
                <w:sz w:val="20"/>
                <w:szCs w:val="20"/>
                <w:lang w:val="nl-BE" w:eastAsia="nl-BE"/>
              </w:rPr>
              <w:lastRenderedPageBreak/>
              <w:t>Review</w:t>
            </w:r>
            <w:r>
              <w:rPr>
                <w:rFonts w:ascii="Arial" w:eastAsia="ヒラギノ角ゴ Pro W3" w:hAnsi="Arial" w:cs="Arial"/>
                <w:sz w:val="20"/>
                <w:szCs w:val="20"/>
                <w:lang w:val="nl-BE" w:eastAsia="nl-BE"/>
              </w:rPr>
              <w:t xml:space="preserve"> door de verantwoordelijke voor de kwaliteitsbeheersing</w:t>
            </w:r>
          </w:p>
        </w:tc>
        <w:tc>
          <w:tcPr>
            <w:tcW w:w="2977" w:type="dxa"/>
            <w:shd w:val="clear" w:color="auto" w:fill="auto"/>
          </w:tcPr>
          <w:p w14:paraId="1B1067DC" w14:textId="77777777" w:rsidR="0013236B" w:rsidRPr="000238CF" w:rsidRDefault="0013236B" w:rsidP="0013236B">
            <w:pPr>
              <w:tabs>
                <w:tab w:val="left" w:pos="7920"/>
              </w:tabs>
              <w:spacing w:before="60" w:after="60" w:line="240" w:lineRule="auto"/>
              <w:rPr>
                <w:rFonts w:ascii="Arial" w:eastAsia="ヒラギノ角ゴ Pro W3" w:hAnsi="Arial" w:cs="Arial"/>
                <w:sz w:val="20"/>
                <w:szCs w:val="20"/>
                <w:lang w:val="nl-BE" w:eastAsia="nl-BE"/>
              </w:rPr>
            </w:pPr>
          </w:p>
        </w:tc>
        <w:tc>
          <w:tcPr>
            <w:tcW w:w="1276" w:type="dxa"/>
            <w:shd w:val="clear" w:color="auto" w:fill="auto"/>
          </w:tcPr>
          <w:p w14:paraId="1B1067DD" w14:textId="77777777" w:rsidR="0013236B" w:rsidRPr="000238CF" w:rsidRDefault="0013236B" w:rsidP="0013236B">
            <w:pPr>
              <w:tabs>
                <w:tab w:val="left" w:pos="7920"/>
              </w:tabs>
              <w:spacing w:before="60" w:after="60" w:line="240" w:lineRule="auto"/>
              <w:rPr>
                <w:rFonts w:ascii="Arial" w:eastAsia="ヒラギノ角ゴ Pro W3" w:hAnsi="Arial" w:cs="Arial"/>
                <w:sz w:val="20"/>
                <w:szCs w:val="20"/>
                <w:lang w:val="nl-BE" w:eastAsia="nl-BE"/>
              </w:rPr>
            </w:pPr>
            <w:r>
              <w:rPr>
                <w:rFonts w:ascii="Arial" w:eastAsia="ヒラギノ角ゴ Pro W3" w:hAnsi="Arial" w:cs="Arial"/>
                <w:sz w:val="20"/>
                <w:szCs w:val="20"/>
                <w:lang w:val="nl-BE" w:eastAsia="nl-BE"/>
              </w:rPr>
              <w:t>Datum</w:t>
            </w:r>
          </w:p>
        </w:tc>
        <w:tc>
          <w:tcPr>
            <w:tcW w:w="3118" w:type="dxa"/>
            <w:shd w:val="clear" w:color="auto" w:fill="auto"/>
          </w:tcPr>
          <w:p w14:paraId="1B1067DE" w14:textId="77777777" w:rsidR="0013236B" w:rsidRPr="000238CF" w:rsidRDefault="0013236B" w:rsidP="0013236B">
            <w:pPr>
              <w:tabs>
                <w:tab w:val="left" w:pos="7920"/>
              </w:tabs>
              <w:spacing w:before="60" w:after="60" w:line="240" w:lineRule="auto"/>
              <w:rPr>
                <w:rFonts w:ascii="Arial" w:eastAsia="ヒラギノ角ゴ Pro W3" w:hAnsi="Arial" w:cs="Arial"/>
                <w:sz w:val="20"/>
                <w:szCs w:val="20"/>
                <w:lang w:val="nl-BE" w:eastAsia="nl-BE"/>
              </w:rPr>
            </w:pPr>
          </w:p>
        </w:tc>
      </w:tr>
    </w:tbl>
    <w:p w14:paraId="1B1067E0" w14:textId="77777777" w:rsidR="0013236B" w:rsidRPr="00305BEC" w:rsidRDefault="0013236B" w:rsidP="00305BEC">
      <w:pPr>
        <w:jc w:val="center"/>
        <w:rPr>
          <w:rFonts w:ascii="Arial" w:hAnsi="Arial" w:cs="Arial"/>
          <w:sz w:val="20"/>
          <w:szCs w:val="20"/>
          <w:lang w:val="nl-BE"/>
        </w:rPr>
      </w:pPr>
    </w:p>
    <w:sectPr w:rsidR="0013236B" w:rsidRPr="00305BEC" w:rsidSect="00AC66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276" w:right="1440" w:bottom="1276" w:left="1440" w:header="708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067E3" w14:textId="77777777" w:rsidR="001030FD" w:rsidRDefault="001030FD" w:rsidP="004F2B4C">
      <w:pPr>
        <w:spacing w:after="0" w:line="240" w:lineRule="auto"/>
      </w:pPr>
      <w:r>
        <w:separator/>
      </w:r>
    </w:p>
  </w:endnote>
  <w:endnote w:type="continuationSeparator" w:id="0">
    <w:p w14:paraId="1B1067E4" w14:textId="77777777" w:rsidR="001030FD" w:rsidRDefault="001030FD" w:rsidP="004F2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F146A" w14:textId="77777777" w:rsidR="00326C4F" w:rsidRDefault="00326C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3018796"/>
      <w:docPartObj>
        <w:docPartGallery w:val="Page Numbers (Bottom of Page)"/>
        <w:docPartUnique/>
      </w:docPartObj>
    </w:sdtPr>
    <w:sdtEndPr/>
    <w:sdtContent>
      <w:p w14:paraId="1B1067E6" w14:textId="77777777" w:rsidR="001030FD" w:rsidRPr="00564EE4" w:rsidRDefault="001030FD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D765D4">
          <w:rPr>
            <w:rFonts w:ascii="Arial" w:hAnsi="Arial" w:cs="Arial"/>
            <w:sz w:val="18"/>
            <w:szCs w:val="18"/>
          </w:rPr>
          <w:fldChar w:fldCharType="begin"/>
        </w:r>
        <w:r w:rsidRPr="00D765D4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D765D4">
          <w:rPr>
            <w:rFonts w:ascii="Arial" w:hAnsi="Arial" w:cs="Arial"/>
            <w:sz w:val="18"/>
            <w:szCs w:val="18"/>
          </w:rPr>
          <w:fldChar w:fldCharType="separate"/>
        </w:r>
        <w:r w:rsidR="006B637F">
          <w:rPr>
            <w:rFonts w:ascii="Arial" w:hAnsi="Arial" w:cs="Arial"/>
            <w:noProof/>
            <w:sz w:val="18"/>
            <w:szCs w:val="18"/>
          </w:rPr>
          <w:t>1</w:t>
        </w:r>
        <w:r w:rsidRPr="00D765D4">
          <w:rPr>
            <w:rFonts w:ascii="Arial" w:hAnsi="Arial" w:cs="Arial"/>
            <w:sz w:val="18"/>
            <w:szCs w:val="18"/>
          </w:rPr>
          <w:fldChar w:fldCharType="end"/>
        </w:r>
        <w:r w:rsidRPr="00D765D4">
          <w:rPr>
            <w:rFonts w:ascii="Arial" w:hAnsi="Arial" w:cs="Arial"/>
            <w:sz w:val="18"/>
            <w:szCs w:val="18"/>
          </w:rPr>
          <w:t>/</w:t>
        </w:r>
        <w:r>
          <w:rPr>
            <w:rFonts w:ascii="Arial" w:hAnsi="Arial" w:cs="Arial"/>
            <w:sz w:val="18"/>
            <w:szCs w:val="18"/>
          </w:rPr>
          <w:t>8</w:t>
        </w:r>
      </w:p>
    </w:sdtContent>
  </w:sdt>
  <w:p w14:paraId="1B1067E7" w14:textId="77777777" w:rsidR="001030FD" w:rsidRDefault="001030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09F64" w14:textId="77777777" w:rsidR="00326C4F" w:rsidRDefault="00326C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067E1" w14:textId="77777777" w:rsidR="001030FD" w:rsidRDefault="001030FD" w:rsidP="004F2B4C">
      <w:pPr>
        <w:spacing w:after="0" w:line="240" w:lineRule="auto"/>
      </w:pPr>
      <w:r>
        <w:separator/>
      </w:r>
    </w:p>
  </w:footnote>
  <w:footnote w:type="continuationSeparator" w:id="0">
    <w:p w14:paraId="1B1067E2" w14:textId="77777777" w:rsidR="001030FD" w:rsidRDefault="001030FD" w:rsidP="004F2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9EF5D" w14:textId="77777777" w:rsidR="00326C4F" w:rsidRDefault="00326C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067E5" w14:textId="2BD3FD2F" w:rsidR="001030FD" w:rsidRDefault="001030FD" w:rsidP="00AA007B">
    <w:pPr>
      <w:pStyle w:val="Note"/>
      <w:spacing w:before="0" w:after="0"/>
    </w:pPr>
    <w:r w:rsidRPr="009E5E1D">
      <w:t>Checklist C</w:t>
    </w:r>
    <w:r>
      <w:t xml:space="preserve">5 − </w:t>
    </w:r>
    <w:r w:rsidRPr="009E5E1D">
      <w:t>Transacties tussen verbonden partijen</w:t>
    </w:r>
  </w:p>
  <w:p w14:paraId="7EA4BEB3" w14:textId="1E8593E5" w:rsidR="00326C4F" w:rsidRPr="00326C4F" w:rsidRDefault="00326C4F" w:rsidP="00326C4F">
    <w:pPr>
      <w:pStyle w:val="Header"/>
      <w:rPr>
        <w:lang w:val="nl-BE"/>
      </w:rPr>
    </w:pPr>
    <w:r w:rsidRPr="00BE3E22">
      <w:rPr>
        <w:rFonts w:ascii="Calibri" w:eastAsia="Calibri" w:hAnsi="Calibri"/>
        <w:b/>
        <w:bCs/>
        <w:i/>
        <w:iCs/>
        <w:color w:val="FF0000"/>
        <w:sz w:val="24"/>
        <w:szCs w:val="24"/>
        <w:lang w:val="nl-NL"/>
      </w:rPr>
      <w:t xml:space="preserve">De WG ISA heeft in 2021-2022 een nieuwe tool ontwikkeld over dit onderwerp. Raadpleeg het overeenkomstige tool op: </w:t>
    </w:r>
    <w:hyperlink r:id="rId1" w:history="1">
      <w:r w:rsidRPr="00BE3E22">
        <w:rPr>
          <w:rFonts w:ascii="Calibri" w:eastAsia="Calibri" w:hAnsi="Calibri"/>
          <w:b/>
          <w:bCs/>
          <w:i/>
          <w:iCs/>
          <w:color w:val="FF0000"/>
          <w:sz w:val="24"/>
          <w:szCs w:val="24"/>
          <w:u w:val="single"/>
          <w:lang w:val="en-BE"/>
        </w:rPr>
        <w:t>https://www.icci.be/nl/publicaties-en-tools/modeldocumenten/modeldocumenten-detail-page/tools-voor-een-effici-nte-isa-audit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C845E" w14:textId="77777777" w:rsidR="00326C4F" w:rsidRDefault="00326C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962"/>
    <w:multiLevelType w:val="hybridMultilevel"/>
    <w:tmpl w:val="FBC41B0E"/>
    <w:lvl w:ilvl="0" w:tplc="500EC034">
      <w:start w:val="1"/>
      <w:numFmt w:val="lowerLetter"/>
      <w:lvlText w:val="%1)"/>
      <w:lvlJc w:val="left"/>
      <w:pPr>
        <w:ind w:left="5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1" w:hanging="360"/>
      </w:pPr>
    </w:lvl>
    <w:lvl w:ilvl="2" w:tplc="0409001B" w:tentative="1">
      <w:start w:val="1"/>
      <w:numFmt w:val="lowerRoman"/>
      <w:lvlText w:val="%3."/>
      <w:lvlJc w:val="right"/>
      <w:pPr>
        <w:ind w:left="1991" w:hanging="180"/>
      </w:pPr>
    </w:lvl>
    <w:lvl w:ilvl="3" w:tplc="0409000F" w:tentative="1">
      <w:start w:val="1"/>
      <w:numFmt w:val="decimal"/>
      <w:lvlText w:val="%4."/>
      <w:lvlJc w:val="left"/>
      <w:pPr>
        <w:ind w:left="2711" w:hanging="360"/>
      </w:pPr>
    </w:lvl>
    <w:lvl w:ilvl="4" w:tplc="04090019" w:tentative="1">
      <w:start w:val="1"/>
      <w:numFmt w:val="lowerLetter"/>
      <w:lvlText w:val="%5."/>
      <w:lvlJc w:val="left"/>
      <w:pPr>
        <w:ind w:left="3431" w:hanging="360"/>
      </w:pPr>
    </w:lvl>
    <w:lvl w:ilvl="5" w:tplc="0409001B" w:tentative="1">
      <w:start w:val="1"/>
      <w:numFmt w:val="lowerRoman"/>
      <w:lvlText w:val="%6."/>
      <w:lvlJc w:val="right"/>
      <w:pPr>
        <w:ind w:left="4151" w:hanging="180"/>
      </w:pPr>
    </w:lvl>
    <w:lvl w:ilvl="6" w:tplc="0409000F" w:tentative="1">
      <w:start w:val="1"/>
      <w:numFmt w:val="decimal"/>
      <w:lvlText w:val="%7."/>
      <w:lvlJc w:val="left"/>
      <w:pPr>
        <w:ind w:left="4871" w:hanging="360"/>
      </w:pPr>
    </w:lvl>
    <w:lvl w:ilvl="7" w:tplc="04090019" w:tentative="1">
      <w:start w:val="1"/>
      <w:numFmt w:val="lowerLetter"/>
      <w:lvlText w:val="%8."/>
      <w:lvlJc w:val="left"/>
      <w:pPr>
        <w:ind w:left="5591" w:hanging="360"/>
      </w:pPr>
    </w:lvl>
    <w:lvl w:ilvl="8" w:tplc="040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1" w15:restartNumberingAfterBreak="0">
    <w:nsid w:val="03CE2309"/>
    <w:multiLevelType w:val="hybridMultilevel"/>
    <w:tmpl w:val="9F727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C146F"/>
    <w:multiLevelType w:val="hybridMultilevel"/>
    <w:tmpl w:val="D19031BE"/>
    <w:lvl w:ilvl="0" w:tplc="33A842FA">
      <w:start w:val="1"/>
      <w:numFmt w:val="bullet"/>
      <w:lvlText w:val="−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B459FB"/>
    <w:multiLevelType w:val="hybridMultilevel"/>
    <w:tmpl w:val="8C120E40"/>
    <w:lvl w:ilvl="0" w:tplc="C1D6AAB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414D84"/>
    <w:multiLevelType w:val="hybridMultilevel"/>
    <w:tmpl w:val="283CCDD8"/>
    <w:lvl w:ilvl="0" w:tplc="04090017">
      <w:start w:val="1"/>
      <w:numFmt w:val="lowerLetter"/>
      <w:lvlText w:val="%1)"/>
      <w:lvlJc w:val="left"/>
      <w:pPr>
        <w:ind w:left="-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" w:hanging="360"/>
      </w:pPr>
    </w:lvl>
    <w:lvl w:ilvl="2" w:tplc="0409001B" w:tentative="1">
      <w:start w:val="1"/>
      <w:numFmt w:val="lowerRoman"/>
      <w:lvlText w:val="%3."/>
      <w:lvlJc w:val="right"/>
      <w:pPr>
        <w:ind w:left="798" w:hanging="180"/>
      </w:pPr>
    </w:lvl>
    <w:lvl w:ilvl="3" w:tplc="0409000F" w:tentative="1">
      <w:start w:val="1"/>
      <w:numFmt w:val="decimal"/>
      <w:lvlText w:val="%4."/>
      <w:lvlJc w:val="left"/>
      <w:pPr>
        <w:ind w:left="1518" w:hanging="360"/>
      </w:pPr>
    </w:lvl>
    <w:lvl w:ilvl="4" w:tplc="04090019" w:tentative="1">
      <w:start w:val="1"/>
      <w:numFmt w:val="lowerLetter"/>
      <w:lvlText w:val="%5."/>
      <w:lvlJc w:val="left"/>
      <w:pPr>
        <w:ind w:left="2238" w:hanging="360"/>
      </w:pPr>
    </w:lvl>
    <w:lvl w:ilvl="5" w:tplc="0409001B" w:tentative="1">
      <w:start w:val="1"/>
      <w:numFmt w:val="lowerRoman"/>
      <w:lvlText w:val="%6."/>
      <w:lvlJc w:val="right"/>
      <w:pPr>
        <w:ind w:left="2958" w:hanging="180"/>
      </w:pPr>
    </w:lvl>
    <w:lvl w:ilvl="6" w:tplc="0409000F" w:tentative="1">
      <w:start w:val="1"/>
      <w:numFmt w:val="decimal"/>
      <w:lvlText w:val="%7."/>
      <w:lvlJc w:val="left"/>
      <w:pPr>
        <w:ind w:left="3678" w:hanging="360"/>
      </w:pPr>
    </w:lvl>
    <w:lvl w:ilvl="7" w:tplc="04090019" w:tentative="1">
      <w:start w:val="1"/>
      <w:numFmt w:val="lowerLetter"/>
      <w:lvlText w:val="%8."/>
      <w:lvlJc w:val="left"/>
      <w:pPr>
        <w:ind w:left="4398" w:hanging="360"/>
      </w:pPr>
    </w:lvl>
    <w:lvl w:ilvl="8" w:tplc="0409001B" w:tentative="1">
      <w:start w:val="1"/>
      <w:numFmt w:val="lowerRoman"/>
      <w:lvlText w:val="%9."/>
      <w:lvlJc w:val="right"/>
      <w:pPr>
        <w:ind w:left="5118" w:hanging="180"/>
      </w:pPr>
    </w:lvl>
  </w:abstractNum>
  <w:abstractNum w:abstractNumId="5" w15:restartNumberingAfterBreak="0">
    <w:nsid w:val="1184288C"/>
    <w:multiLevelType w:val="hybridMultilevel"/>
    <w:tmpl w:val="7318E794"/>
    <w:lvl w:ilvl="0" w:tplc="AA225BFC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A7239"/>
    <w:multiLevelType w:val="hybridMultilevel"/>
    <w:tmpl w:val="86C828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E3A77"/>
    <w:multiLevelType w:val="hybridMultilevel"/>
    <w:tmpl w:val="613E23C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671F55"/>
    <w:multiLevelType w:val="hybridMultilevel"/>
    <w:tmpl w:val="8D52EA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46D24"/>
    <w:multiLevelType w:val="hybridMultilevel"/>
    <w:tmpl w:val="250C8572"/>
    <w:lvl w:ilvl="0" w:tplc="EC3A1328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0" w15:restartNumberingAfterBreak="0">
    <w:nsid w:val="1E2472E7"/>
    <w:multiLevelType w:val="hybridMultilevel"/>
    <w:tmpl w:val="60529042"/>
    <w:lvl w:ilvl="0" w:tplc="33A842FA">
      <w:start w:val="1"/>
      <w:numFmt w:val="bullet"/>
      <w:lvlText w:val="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80015"/>
    <w:multiLevelType w:val="hybridMultilevel"/>
    <w:tmpl w:val="CA8015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91B0F"/>
    <w:multiLevelType w:val="hybridMultilevel"/>
    <w:tmpl w:val="2BE8D456"/>
    <w:lvl w:ilvl="0" w:tplc="116EEDFA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2" w:hanging="360"/>
      </w:pPr>
    </w:lvl>
    <w:lvl w:ilvl="2" w:tplc="0409001B" w:tentative="1">
      <w:start w:val="1"/>
      <w:numFmt w:val="lowerRoman"/>
      <w:lvlText w:val="%3."/>
      <w:lvlJc w:val="right"/>
      <w:pPr>
        <w:ind w:left="2132" w:hanging="180"/>
      </w:pPr>
    </w:lvl>
    <w:lvl w:ilvl="3" w:tplc="0409000F" w:tentative="1">
      <w:start w:val="1"/>
      <w:numFmt w:val="decimal"/>
      <w:lvlText w:val="%4."/>
      <w:lvlJc w:val="left"/>
      <w:pPr>
        <w:ind w:left="2852" w:hanging="360"/>
      </w:pPr>
    </w:lvl>
    <w:lvl w:ilvl="4" w:tplc="04090019" w:tentative="1">
      <w:start w:val="1"/>
      <w:numFmt w:val="lowerLetter"/>
      <w:lvlText w:val="%5."/>
      <w:lvlJc w:val="left"/>
      <w:pPr>
        <w:ind w:left="3572" w:hanging="360"/>
      </w:pPr>
    </w:lvl>
    <w:lvl w:ilvl="5" w:tplc="0409001B" w:tentative="1">
      <w:start w:val="1"/>
      <w:numFmt w:val="lowerRoman"/>
      <w:lvlText w:val="%6."/>
      <w:lvlJc w:val="right"/>
      <w:pPr>
        <w:ind w:left="4292" w:hanging="180"/>
      </w:pPr>
    </w:lvl>
    <w:lvl w:ilvl="6" w:tplc="0409000F" w:tentative="1">
      <w:start w:val="1"/>
      <w:numFmt w:val="decimal"/>
      <w:lvlText w:val="%7."/>
      <w:lvlJc w:val="left"/>
      <w:pPr>
        <w:ind w:left="5012" w:hanging="360"/>
      </w:pPr>
    </w:lvl>
    <w:lvl w:ilvl="7" w:tplc="04090019" w:tentative="1">
      <w:start w:val="1"/>
      <w:numFmt w:val="lowerLetter"/>
      <w:lvlText w:val="%8."/>
      <w:lvlJc w:val="left"/>
      <w:pPr>
        <w:ind w:left="5732" w:hanging="360"/>
      </w:pPr>
    </w:lvl>
    <w:lvl w:ilvl="8" w:tplc="040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3" w15:restartNumberingAfterBreak="0">
    <w:nsid w:val="24DE04C1"/>
    <w:multiLevelType w:val="hybridMultilevel"/>
    <w:tmpl w:val="15E08902"/>
    <w:lvl w:ilvl="0" w:tplc="9A064172">
      <w:start w:val="1"/>
      <w:numFmt w:val="lowerLetter"/>
      <w:lvlText w:val="%1)"/>
      <w:lvlJc w:val="left"/>
      <w:pPr>
        <w:ind w:left="409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29" w:hanging="360"/>
      </w:pPr>
    </w:lvl>
    <w:lvl w:ilvl="2" w:tplc="0813001B" w:tentative="1">
      <w:start w:val="1"/>
      <w:numFmt w:val="lowerRoman"/>
      <w:lvlText w:val="%3."/>
      <w:lvlJc w:val="right"/>
      <w:pPr>
        <w:ind w:left="1849" w:hanging="180"/>
      </w:pPr>
    </w:lvl>
    <w:lvl w:ilvl="3" w:tplc="0813000F" w:tentative="1">
      <w:start w:val="1"/>
      <w:numFmt w:val="decimal"/>
      <w:lvlText w:val="%4."/>
      <w:lvlJc w:val="left"/>
      <w:pPr>
        <w:ind w:left="2569" w:hanging="360"/>
      </w:pPr>
    </w:lvl>
    <w:lvl w:ilvl="4" w:tplc="08130019" w:tentative="1">
      <w:start w:val="1"/>
      <w:numFmt w:val="lowerLetter"/>
      <w:lvlText w:val="%5."/>
      <w:lvlJc w:val="left"/>
      <w:pPr>
        <w:ind w:left="3289" w:hanging="360"/>
      </w:pPr>
    </w:lvl>
    <w:lvl w:ilvl="5" w:tplc="0813001B" w:tentative="1">
      <w:start w:val="1"/>
      <w:numFmt w:val="lowerRoman"/>
      <w:lvlText w:val="%6."/>
      <w:lvlJc w:val="right"/>
      <w:pPr>
        <w:ind w:left="4009" w:hanging="180"/>
      </w:pPr>
    </w:lvl>
    <w:lvl w:ilvl="6" w:tplc="0813000F" w:tentative="1">
      <w:start w:val="1"/>
      <w:numFmt w:val="decimal"/>
      <w:lvlText w:val="%7."/>
      <w:lvlJc w:val="left"/>
      <w:pPr>
        <w:ind w:left="4729" w:hanging="360"/>
      </w:pPr>
    </w:lvl>
    <w:lvl w:ilvl="7" w:tplc="08130019" w:tentative="1">
      <w:start w:val="1"/>
      <w:numFmt w:val="lowerLetter"/>
      <w:lvlText w:val="%8."/>
      <w:lvlJc w:val="left"/>
      <w:pPr>
        <w:ind w:left="5449" w:hanging="360"/>
      </w:pPr>
    </w:lvl>
    <w:lvl w:ilvl="8" w:tplc="0813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4" w15:restartNumberingAfterBreak="0">
    <w:nsid w:val="25A97380"/>
    <w:multiLevelType w:val="hybridMultilevel"/>
    <w:tmpl w:val="DED2A7BE"/>
    <w:lvl w:ilvl="0" w:tplc="33A842FA">
      <w:start w:val="1"/>
      <w:numFmt w:val="bullet"/>
      <w:lvlText w:val="−"/>
      <w:lvlJc w:val="left"/>
      <w:pPr>
        <w:ind w:left="1119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15" w15:restartNumberingAfterBreak="0">
    <w:nsid w:val="27564B45"/>
    <w:multiLevelType w:val="hybridMultilevel"/>
    <w:tmpl w:val="AE3EEBFE"/>
    <w:lvl w:ilvl="0" w:tplc="C1D6AA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B754F3"/>
    <w:multiLevelType w:val="hybridMultilevel"/>
    <w:tmpl w:val="908AA080"/>
    <w:lvl w:ilvl="0" w:tplc="04090017">
      <w:start w:val="1"/>
      <w:numFmt w:val="lowerLetter"/>
      <w:lvlText w:val="%1)"/>
      <w:lvlJc w:val="left"/>
      <w:pPr>
        <w:ind w:left="1054" w:hanging="360"/>
      </w:pPr>
    </w:lvl>
    <w:lvl w:ilvl="1" w:tplc="04090019" w:tentative="1">
      <w:start w:val="1"/>
      <w:numFmt w:val="lowerLetter"/>
      <w:lvlText w:val="%2."/>
      <w:lvlJc w:val="left"/>
      <w:pPr>
        <w:ind w:left="1774" w:hanging="360"/>
      </w:pPr>
    </w:lvl>
    <w:lvl w:ilvl="2" w:tplc="0409001B" w:tentative="1">
      <w:start w:val="1"/>
      <w:numFmt w:val="lowerRoman"/>
      <w:lvlText w:val="%3."/>
      <w:lvlJc w:val="right"/>
      <w:pPr>
        <w:ind w:left="2494" w:hanging="180"/>
      </w:pPr>
    </w:lvl>
    <w:lvl w:ilvl="3" w:tplc="0409000F" w:tentative="1">
      <w:start w:val="1"/>
      <w:numFmt w:val="decimal"/>
      <w:lvlText w:val="%4."/>
      <w:lvlJc w:val="left"/>
      <w:pPr>
        <w:ind w:left="3214" w:hanging="360"/>
      </w:pPr>
    </w:lvl>
    <w:lvl w:ilvl="4" w:tplc="04090019" w:tentative="1">
      <w:start w:val="1"/>
      <w:numFmt w:val="lowerLetter"/>
      <w:lvlText w:val="%5."/>
      <w:lvlJc w:val="left"/>
      <w:pPr>
        <w:ind w:left="3934" w:hanging="360"/>
      </w:pPr>
    </w:lvl>
    <w:lvl w:ilvl="5" w:tplc="0409001B" w:tentative="1">
      <w:start w:val="1"/>
      <w:numFmt w:val="lowerRoman"/>
      <w:lvlText w:val="%6."/>
      <w:lvlJc w:val="right"/>
      <w:pPr>
        <w:ind w:left="4654" w:hanging="180"/>
      </w:pPr>
    </w:lvl>
    <w:lvl w:ilvl="6" w:tplc="0409000F" w:tentative="1">
      <w:start w:val="1"/>
      <w:numFmt w:val="decimal"/>
      <w:lvlText w:val="%7."/>
      <w:lvlJc w:val="left"/>
      <w:pPr>
        <w:ind w:left="5374" w:hanging="360"/>
      </w:pPr>
    </w:lvl>
    <w:lvl w:ilvl="7" w:tplc="04090019" w:tentative="1">
      <w:start w:val="1"/>
      <w:numFmt w:val="lowerLetter"/>
      <w:lvlText w:val="%8."/>
      <w:lvlJc w:val="left"/>
      <w:pPr>
        <w:ind w:left="6094" w:hanging="360"/>
      </w:pPr>
    </w:lvl>
    <w:lvl w:ilvl="8" w:tplc="040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7" w15:restartNumberingAfterBreak="0">
    <w:nsid w:val="2D3C0AA4"/>
    <w:multiLevelType w:val="hybridMultilevel"/>
    <w:tmpl w:val="C69A8C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D220B"/>
    <w:multiLevelType w:val="hybridMultilevel"/>
    <w:tmpl w:val="F1AAC0DA"/>
    <w:lvl w:ilvl="0" w:tplc="BCFA3B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E95F80"/>
    <w:multiLevelType w:val="hybridMultilevel"/>
    <w:tmpl w:val="FBA21908"/>
    <w:lvl w:ilvl="0" w:tplc="E4E25958">
      <w:start w:val="1"/>
      <w:numFmt w:val="lowerLetter"/>
      <w:lvlText w:val="%1)"/>
      <w:lvlJc w:val="left"/>
      <w:pPr>
        <w:ind w:left="413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33" w:hanging="360"/>
      </w:pPr>
    </w:lvl>
    <w:lvl w:ilvl="2" w:tplc="0813001B" w:tentative="1">
      <w:start w:val="1"/>
      <w:numFmt w:val="lowerRoman"/>
      <w:lvlText w:val="%3."/>
      <w:lvlJc w:val="right"/>
      <w:pPr>
        <w:ind w:left="1853" w:hanging="180"/>
      </w:pPr>
    </w:lvl>
    <w:lvl w:ilvl="3" w:tplc="0813000F" w:tentative="1">
      <w:start w:val="1"/>
      <w:numFmt w:val="decimal"/>
      <w:lvlText w:val="%4."/>
      <w:lvlJc w:val="left"/>
      <w:pPr>
        <w:ind w:left="2573" w:hanging="360"/>
      </w:pPr>
    </w:lvl>
    <w:lvl w:ilvl="4" w:tplc="08130019" w:tentative="1">
      <w:start w:val="1"/>
      <w:numFmt w:val="lowerLetter"/>
      <w:lvlText w:val="%5."/>
      <w:lvlJc w:val="left"/>
      <w:pPr>
        <w:ind w:left="3293" w:hanging="360"/>
      </w:pPr>
    </w:lvl>
    <w:lvl w:ilvl="5" w:tplc="0813001B" w:tentative="1">
      <w:start w:val="1"/>
      <w:numFmt w:val="lowerRoman"/>
      <w:lvlText w:val="%6."/>
      <w:lvlJc w:val="right"/>
      <w:pPr>
        <w:ind w:left="4013" w:hanging="180"/>
      </w:pPr>
    </w:lvl>
    <w:lvl w:ilvl="6" w:tplc="0813000F" w:tentative="1">
      <w:start w:val="1"/>
      <w:numFmt w:val="decimal"/>
      <w:lvlText w:val="%7."/>
      <w:lvlJc w:val="left"/>
      <w:pPr>
        <w:ind w:left="4733" w:hanging="360"/>
      </w:pPr>
    </w:lvl>
    <w:lvl w:ilvl="7" w:tplc="08130019" w:tentative="1">
      <w:start w:val="1"/>
      <w:numFmt w:val="lowerLetter"/>
      <w:lvlText w:val="%8."/>
      <w:lvlJc w:val="left"/>
      <w:pPr>
        <w:ind w:left="5453" w:hanging="360"/>
      </w:pPr>
    </w:lvl>
    <w:lvl w:ilvl="8" w:tplc="0813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20" w15:restartNumberingAfterBreak="0">
    <w:nsid w:val="475F5822"/>
    <w:multiLevelType w:val="hybridMultilevel"/>
    <w:tmpl w:val="C97AD02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4CE6527D"/>
    <w:multiLevelType w:val="hybridMultilevel"/>
    <w:tmpl w:val="975E9494"/>
    <w:lvl w:ilvl="0" w:tplc="928C6A68">
      <w:start w:val="5"/>
      <w:numFmt w:val="decimal"/>
      <w:lvlText w:val="%1."/>
      <w:lvlJc w:val="left"/>
      <w:pPr>
        <w:ind w:left="-64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D6DD1"/>
    <w:multiLevelType w:val="hybridMultilevel"/>
    <w:tmpl w:val="AD14598C"/>
    <w:lvl w:ilvl="0" w:tplc="33A842FA">
      <w:start w:val="1"/>
      <w:numFmt w:val="bullet"/>
      <w:lvlText w:val="−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4F38F0"/>
    <w:multiLevelType w:val="hybridMultilevel"/>
    <w:tmpl w:val="38E8AFAE"/>
    <w:lvl w:ilvl="0" w:tplc="04090017">
      <w:start w:val="1"/>
      <w:numFmt w:val="lowerLetter"/>
      <w:lvlText w:val="%1)"/>
      <w:lvlJc w:val="left"/>
      <w:pPr>
        <w:ind w:left="692" w:hanging="360"/>
      </w:pPr>
    </w:lvl>
    <w:lvl w:ilvl="1" w:tplc="04090019" w:tentative="1">
      <w:start w:val="1"/>
      <w:numFmt w:val="lowerLetter"/>
      <w:lvlText w:val="%2."/>
      <w:lvlJc w:val="left"/>
      <w:pPr>
        <w:ind w:left="1412" w:hanging="360"/>
      </w:pPr>
    </w:lvl>
    <w:lvl w:ilvl="2" w:tplc="0409001B" w:tentative="1">
      <w:start w:val="1"/>
      <w:numFmt w:val="lowerRoman"/>
      <w:lvlText w:val="%3."/>
      <w:lvlJc w:val="right"/>
      <w:pPr>
        <w:ind w:left="2132" w:hanging="180"/>
      </w:pPr>
    </w:lvl>
    <w:lvl w:ilvl="3" w:tplc="0409000F" w:tentative="1">
      <w:start w:val="1"/>
      <w:numFmt w:val="decimal"/>
      <w:lvlText w:val="%4."/>
      <w:lvlJc w:val="left"/>
      <w:pPr>
        <w:ind w:left="2852" w:hanging="360"/>
      </w:pPr>
    </w:lvl>
    <w:lvl w:ilvl="4" w:tplc="04090019" w:tentative="1">
      <w:start w:val="1"/>
      <w:numFmt w:val="lowerLetter"/>
      <w:lvlText w:val="%5."/>
      <w:lvlJc w:val="left"/>
      <w:pPr>
        <w:ind w:left="3572" w:hanging="360"/>
      </w:pPr>
    </w:lvl>
    <w:lvl w:ilvl="5" w:tplc="0409001B" w:tentative="1">
      <w:start w:val="1"/>
      <w:numFmt w:val="lowerRoman"/>
      <w:lvlText w:val="%6."/>
      <w:lvlJc w:val="right"/>
      <w:pPr>
        <w:ind w:left="4292" w:hanging="180"/>
      </w:pPr>
    </w:lvl>
    <w:lvl w:ilvl="6" w:tplc="0409000F" w:tentative="1">
      <w:start w:val="1"/>
      <w:numFmt w:val="decimal"/>
      <w:lvlText w:val="%7."/>
      <w:lvlJc w:val="left"/>
      <w:pPr>
        <w:ind w:left="5012" w:hanging="360"/>
      </w:pPr>
    </w:lvl>
    <w:lvl w:ilvl="7" w:tplc="04090019" w:tentative="1">
      <w:start w:val="1"/>
      <w:numFmt w:val="lowerLetter"/>
      <w:lvlText w:val="%8."/>
      <w:lvlJc w:val="left"/>
      <w:pPr>
        <w:ind w:left="5732" w:hanging="360"/>
      </w:pPr>
    </w:lvl>
    <w:lvl w:ilvl="8" w:tplc="040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4" w15:restartNumberingAfterBreak="0">
    <w:nsid w:val="54F4502A"/>
    <w:multiLevelType w:val="hybridMultilevel"/>
    <w:tmpl w:val="B63E16DE"/>
    <w:lvl w:ilvl="0" w:tplc="04090017">
      <w:start w:val="1"/>
      <w:numFmt w:val="lowerLetter"/>
      <w:lvlText w:val="%1)"/>
      <w:lvlJc w:val="left"/>
      <w:pPr>
        <w:ind w:left="409" w:hanging="360"/>
      </w:p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25" w15:restartNumberingAfterBreak="0">
    <w:nsid w:val="572C72A6"/>
    <w:multiLevelType w:val="hybridMultilevel"/>
    <w:tmpl w:val="C5BA0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37E89"/>
    <w:multiLevelType w:val="hybridMultilevel"/>
    <w:tmpl w:val="0338CE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037C2"/>
    <w:multiLevelType w:val="hybridMultilevel"/>
    <w:tmpl w:val="9A1EFAA0"/>
    <w:lvl w:ilvl="0" w:tplc="1AF0ED70">
      <w:start w:val="1"/>
      <w:numFmt w:val="lowerLetter"/>
      <w:lvlText w:val="%1)"/>
      <w:lvlJc w:val="left"/>
      <w:pPr>
        <w:ind w:left="10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4" w:hanging="360"/>
      </w:pPr>
    </w:lvl>
    <w:lvl w:ilvl="2" w:tplc="0409001B" w:tentative="1">
      <w:start w:val="1"/>
      <w:numFmt w:val="lowerRoman"/>
      <w:lvlText w:val="%3."/>
      <w:lvlJc w:val="right"/>
      <w:pPr>
        <w:ind w:left="2494" w:hanging="180"/>
      </w:pPr>
    </w:lvl>
    <w:lvl w:ilvl="3" w:tplc="0409000F" w:tentative="1">
      <w:start w:val="1"/>
      <w:numFmt w:val="decimal"/>
      <w:lvlText w:val="%4."/>
      <w:lvlJc w:val="left"/>
      <w:pPr>
        <w:ind w:left="3214" w:hanging="360"/>
      </w:pPr>
    </w:lvl>
    <w:lvl w:ilvl="4" w:tplc="04090019" w:tentative="1">
      <w:start w:val="1"/>
      <w:numFmt w:val="lowerLetter"/>
      <w:lvlText w:val="%5."/>
      <w:lvlJc w:val="left"/>
      <w:pPr>
        <w:ind w:left="3934" w:hanging="360"/>
      </w:pPr>
    </w:lvl>
    <w:lvl w:ilvl="5" w:tplc="0409001B" w:tentative="1">
      <w:start w:val="1"/>
      <w:numFmt w:val="lowerRoman"/>
      <w:lvlText w:val="%6."/>
      <w:lvlJc w:val="right"/>
      <w:pPr>
        <w:ind w:left="4654" w:hanging="180"/>
      </w:pPr>
    </w:lvl>
    <w:lvl w:ilvl="6" w:tplc="0409000F" w:tentative="1">
      <w:start w:val="1"/>
      <w:numFmt w:val="decimal"/>
      <w:lvlText w:val="%7."/>
      <w:lvlJc w:val="left"/>
      <w:pPr>
        <w:ind w:left="5374" w:hanging="360"/>
      </w:pPr>
    </w:lvl>
    <w:lvl w:ilvl="7" w:tplc="04090019" w:tentative="1">
      <w:start w:val="1"/>
      <w:numFmt w:val="lowerLetter"/>
      <w:lvlText w:val="%8."/>
      <w:lvlJc w:val="left"/>
      <w:pPr>
        <w:ind w:left="6094" w:hanging="360"/>
      </w:pPr>
    </w:lvl>
    <w:lvl w:ilvl="8" w:tplc="040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28" w15:restartNumberingAfterBreak="0">
    <w:nsid w:val="6BEB5D0F"/>
    <w:multiLevelType w:val="hybridMultilevel"/>
    <w:tmpl w:val="C54A5EC0"/>
    <w:lvl w:ilvl="0" w:tplc="A8881AB0">
      <w:start w:val="7"/>
      <w:numFmt w:val="decimal"/>
      <w:lvlText w:val="%1."/>
      <w:lvlJc w:val="left"/>
      <w:pPr>
        <w:ind w:left="6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E6A6A"/>
    <w:multiLevelType w:val="hybridMultilevel"/>
    <w:tmpl w:val="E66074E0"/>
    <w:lvl w:ilvl="0" w:tplc="8B98D5DC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16618"/>
    <w:multiLevelType w:val="hybridMultilevel"/>
    <w:tmpl w:val="81C26680"/>
    <w:lvl w:ilvl="0" w:tplc="1AF0ED70">
      <w:start w:val="1"/>
      <w:numFmt w:val="lowerLetter"/>
      <w:lvlText w:val="%1)"/>
      <w:lvlJc w:val="left"/>
      <w:pPr>
        <w:ind w:left="6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4" w:hanging="360"/>
      </w:pPr>
    </w:lvl>
    <w:lvl w:ilvl="2" w:tplc="0409001B" w:tentative="1">
      <w:start w:val="1"/>
      <w:numFmt w:val="lowerRoman"/>
      <w:lvlText w:val="%3."/>
      <w:lvlJc w:val="right"/>
      <w:pPr>
        <w:ind w:left="2134" w:hanging="180"/>
      </w:pPr>
    </w:lvl>
    <w:lvl w:ilvl="3" w:tplc="0409000F" w:tentative="1">
      <w:start w:val="1"/>
      <w:numFmt w:val="decimal"/>
      <w:lvlText w:val="%4."/>
      <w:lvlJc w:val="left"/>
      <w:pPr>
        <w:ind w:left="2854" w:hanging="360"/>
      </w:pPr>
    </w:lvl>
    <w:lvl w:ilvl="4" w:tplc="04090019" w:tentative="1">
      <w:start w:val="1"/>
      <w:numFmt w:val="lowerLetter"/>
      <w:lvlText w:val="%5."/>
      <w:lvlJc w:val="left"/>
      <w:pPr>
        <w:ind w:left="3574" w:hanging="360"/>
      </w:pPr>
    </w:lvl>
    <w:lvl w:ilvl="5" w:tplc="0409001B" w:tentative="1">
      <w:start w:val="1"/>
      <w:numFmt w:val="lowerRoman"/>
      <w:lvlText w:val="%6."/>
      <w:lvlJc w:val="right"/>
      <w:pPr>
        <w:ind w:left="4294" w:hanging="180"/>
      </w:pPr>
    </w:lvl>
    <w:lvl w:ilvl="6" w:tplc="0409000F" w:tentative="1">
      <w:start w:val="1"/>
      <w:numFmt w:val="decimal"/>
      <w:lvlText w:val="%7."/>
      <w:lvlJc w:val="left"/>
      <w:pPr>
        <w:ind w:left="5014" w:hanging="360"/>
      </w:pPr>
    </w:lvl>
    <w:lvl w:ilvl="7" w:tplc="04090019" w:tentative="1">
      <w:start w:val="1"/>
      <w:numFmt w:val="lowerLetter"/>
      <w:lvlText w:val="%8."/>
      <w:lvlJc w:val="left"/>
      <w:pPr>
        <w:ind w:left="5734" w:hanging="360"/>
      </w:pPr>
    </w:lvl>
    <w:lvl w:ilvl="8" w:tplc="0409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31" w15:restartNumberingAfterBreak="0">
    <w:nsid w:val="745B285E"/>
    <w:multiLevelType w:val="hybridMultilevel"/>
    <w:tmpl w:val="A11E9686"/>
    <w:lvl w:ilvl="0" w:tplc="7422D75E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2" w15:restartNumberingAfterBreak="0">
    <w:nsid w:val="77054B58"/>
    <w:multiLevelType w:val="hybridMultilevel"/>
    <w:tmpl w:val="EE92DD96"/>
    <w:lvl w:ilvl="0" w:tplc="33A842FA">
      <w:start w:val="1"/>
      <w:numFmt w:val="bullet"/>
      <w:lvlText w:val="−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EED2EBE"/>
    <w:multiLevelType w:val="hybridMultilevel"/>
    <w:tmpl w:val="F02C4DF6"/>
    <w:lvl w:ilvl="0" w:tplc="322AFEAE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B6387"/>
    <w:multiLevelType w:val="hybridMultilevel"/>
    <w:tmpl w:val="EE8E8280"/>
    <w:lvl w:ilvl="0" w:tplc="C1D6AA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num w:numId="1" w16cid:durableId="925070273">
    <w:abstractNumId w:val="1"/>
  </w:num>
  <w:num w:numId="2" w16cid:durableId="1067386216">
    <w:abstractNumId w:val="20"/>
  </w:num>
  <w:num w:numId="3" w16cid:durableId="1932658300">
    <w:abstractNumId w:val="25"/>
  </w:num>
  <w:num w:numId="4" w16cid:durableId="805510055">
    <w:abstractNumId w:val="2"/>
  </w:num>
  <w:num w:numId="5" w16cid:durableId="1185099171">
    <w:abstractNumId w:val="11"/>
  </w:num>
  <w:num w:numId="6" w16cid:durableId="1210069039">
    <w:abstractNumId w:val="23"/>
  </w:num>
  <w:num w:numId="7" w16cid:durableId="626936250">
    <w:abstractNumId w:val="12"/>
  </w:num>
  <w:num w:numId="8" w16cid:durableId="1452898959">
    <w:abstractNumId w:val="17"/>
  </w:num>
  <w:num w:numId="9" w16cid:durableId="59014657">
    <w:abstractNumId w:val="6"/>
  </w:num>
  <w:num w:numId="10" w16cid:durableId="1636252156">
    <w:abstractNumId w:val="29"/>
  </w:num>
  <w:num w:numId="11" w16cid:durableId="865944673">
    <w:abstractNumId w:val="22"/>
  </w:num>
  <w:num w:numId="12" w16cid:durableId="330379362">
    <w:abstractNumId w:val="7"/>
  </w:num>
  <w:num w:numId="13" w16cid:durableId="1042289486">
    <w:abstractNumId w:val="8"/>
  </w:num>
  <w:num w:numId="14" w16cid:durableId="922295967">
    <w:abstractNumId w:val="26"/>
  </w:num>
  <w:num w:numId="15" w16cid:durableId="1332217387">
    <w:abstractNumId w:val="32"/>
  </w:num>
  <w:num w:numId="16" w16cid:durableId="116873478">
    <w:abstractNumId w:val="10"/>
  </w:num>
  <w:num w:numId="17" w16cid:durableId="2054037405">
    <w:abstractNumId w:val="24"/>
  </w:num>
  <w:num w:numId="18" w16cid:durableId="1530216103">
    <w:abstractNumId w:val="0"/>
  </w:num>
  <w:num w:numId="19" w16cid:durableId="2044331204">
    <w:abstractNumId w:val="16"/>
  </w:num>
  <w:num w:numId="20" w16cid:durableId="2047295181">
    <w:abstractNumId w:val="4"/>
  </w:num>
  <w:num w:numId="21" w16cid:durableId="165487976">
    <w:abstractNumId w:val="18"/>
  </w:num>
  <w:num w:numId="22" w16cid:durableId="653266179">
    <w:abstractNumId w:val="30"/>
  </w:num>
  <w:num w:numId="23" w16cid:durableId="1164466680">
    <w:abstractNumId w:val="27"/>
  </w:num>
  <w:num w:numId="24" w16cid:durableId="339888741">
    <w:abstractNumId w:val="34"/>
  </w:num>
  <w:num w:numId="25" w16cid:durableId="1929725193">
    <w:abstractNumId w:val="15"/>
  </w:num>
  <w:num w:numId="26" w16cid:durableId="887258241">
    <w:abstractNumId w:val="21"/>
  </w:num>
  <w:num w:numId="27" w16cid:durableId="608245237">
    <w:abstractNumId w:val="3"/>
  </w:num>
  <w:num w:numId="28" w16cid:durableId="312370572">
    <w:abstractNumId w:val="9"/>
  </w:num>
  <w:num w:numId="29" w16cid:durableId="605310147">
    <w:abstractNumId w:val="28"/>
  </w:num>
  <w:num w:numId="30" w16cid:durableId="68306911">
    <w:abstractNumId w:val="5"/>
  </w:num>
  <w:num w:numId="31" w16cid:durableId="1849979841">
    <w:abstractNumId w:val="33"/>
  </w:num>
  <w:num w:numId="32" w16cid:durableId="195318119">
    <w:abstractNumId w:val="31"/>
  </w:num>
  <w:num w:numId="33" w16cid:durableId="1450588385">
    <w:abstractNumId w:val="14"/>
  </w:num>
  <w:num w:numId="34" w16cid:durableId="907887675">
    <w:abstractNumId w:val="19"/>
  </w:num>
  <w:num w:numId="35" w16cid:durableId="702008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BEC"/>
    <w:rsid w:val="000044AA"/>
    <w:rsid w:val="00007303"/>
    <w:rsid w:val="00023E3F"/>
    <w:rsid w:val="00031BC5"/>
    <w:rsid w:val="00033E4D"/>
    <w:rsid w:val="0003719B"/>
    <w:rsid w:val="000945FC"/>
    <w:rsid w:val="000A5DF0"/>
    <w:rsid w:val="000C48E3"/>
    <w:rsid w:val="000E0890"/>
    <w:rsid w:val="000E4C93"/>
    <w:rsid w:val="001030FD"/>
    <w:rsid w:val="001168B0"/>
    <w:rsid w:val="00126D68"/>
    <w:rsid w:val="0013236B"/>
    <w:rsid w:val="001809C1"/>
    <w:rsid w:val="001E145B"/>
    <w:rsid w:val="00200E46"/>
    <w:rsid w:val="00207554"/>
    <w:rsid w:val="00224A7E"/>
    <w:rsid w:val="00245F2D"/>
    <w:rsid w:val="002B770A"/>
    <w:rsid w:val="002D5697"/>
    <w:rsid w:val="002D70E3"/>
    <w:rsid w:val="002F74F6"/>
    <w:rsid w:val="00305BEC"/>
    <w:rsid w:val="00306B05"/>
    <w:rsid w:val="003163BF"/>
    <w:rsid w:val="00326C4F"/>
    <w:rsid w:val="00337162"/>
    <w:rsid w:val="00351364"/>
    <w:rsid w:val="00352981"/>
    <w:rsid w:val="00371F1A"/>
    <w:rsid w:val="003A20BE"/>
    <w:rsid w:val="003C54DD"/>
    <w:rsid w:val="00401787"/>
    <w:rsid w:val="004068E0"/>
    <w:rsid w:val="00435186"/>
    <w:rsid w:val="004654BE"/>
    <w:rsid w:val="004D34D1"/>
    <w:rsid w:val="004F2B4C"/>
    <w:rsid w:val="0051640A"/>
    <w:rsid w:val="00532A46"/>
    <w:rsid w:val="00561C64"/>
    <w:rsid w:val="00564EE4"/>
    <w:rsid w:val="005807E9"/>
    <w:rsid w:val="005867EC"/>
    <w:rsid w:val="005A10B9"/>
    <w:rsid w:val="005B3EE6"/>
    <w:rsid w:val="005F1E91"/>
    <w:rsid w:val="006018EF"/>
    <w:rsid w:val="0061705F"/>
    <w:rsid w:val="006247BC"/>
    <w:rsid w:val="00654449"/>
    <w:rsid w:val="00655794"/>
    <w:rsid w:val="0065662A"/>
    <w:rsid w:val="006664E0"/>
    <w:rsid w:val="006811DD"/>
    <w:rsid w:val="0068632B"/>
    <w:rsid w:val="006A5B63"/>
    <w:rsid w:val="006B637F"/>
    <w:rsid w:val="006C6299"/>
    <w:rsid w:val="006D3D05"/>
    <w:rsid w:val="00701438"/>
    <w:rsid w:val="00744290"/>
    <w:rsid w:val="00755FE1"/>
    <w:rsid w:val="00786F8F"/>
    <w:rsid w:val="00794C03"/>
    <w:rsid w:val="007A01C1"/>
    <w:rsid w:val="007A14FF"/>
    <w:rsid w:val="007B4364"/>
    <w:rsid w:val="007D2988"/>
    <w:rsid w:val="007D4CFF"/>
    <w:rsid w:val="007D4D33"/>
    <w:rsid w:val="007D7C7C"/>
    <w:rsid w:val="007F7C2E"/>
    <w:rsid w:val="00802C9D"/>
    <w:rsid w:val="00805A69"/>
    <w:rsid w:val="00813E08"/>
    <w:rsid w:val="008531BA"/>
    <w:rsid w:val="0086135F"/>
    <w:rsid w:val="00891392"/>
    <w:rsid w:val="008D3140"/>
    <w:rsid w:val="008D652A"/>
    <w:rsid w:val="009312CA"/>
    <w:rsid w:val="009407BF"/>
    <w:rsid w:val="00972640"/>
    <w:rsid w:val="00983F5E"/>
    <w:rsid w:val="009E5E1D"/>
    <w:rsid w:val="00A0191B"/>
    <w:rsid w:val="00A07565"/>
    <w:rsid w:val="00A210ED"/>
    <w:rsid w:val="00A539CB"/>
    <w:rsid w:val="00A6575D"/>
    <w:rsid w:val="00A70B77"/>
    <w:rsid w:val="00A77FAB"/>
    <w:rsid w:val="00A853CE"/>
    <w:rsid w:val="00AA007B"/>
    <w:rsid w:val="00AC668C"/>
    <w:rsid w:val="00AD3A8D"/>
    <w:rsid w:val="00AE062C"/>
    <w:rsid w:val="00AF2762"/>
    <w:rsid w:val="00B55369"/>
    <w:rsid w:val="00B734B8"/>
    <w:rsid w:val="00BB4DAB"/>
    <w:rsid w:val="00BB7997"/>
    <w:rsid w:val="00BF02F0"/>
    <w:rsid w:val="00C166EF"/>
    <w:rsid w:val="00C22BC9"/>
    <w:rsid w:val="00C333F8"/>
    <w:rsid w:val="00C557B7"/>
    <w:rsid w:val="00CA08CC"/>
    <w:rsid w:val="00CB3042"/>
    <w:rsid w:val="00CC5544"/>
    <w:rsid w:val="00CC6517"/>
    <w:rsid w:val="00CF6CF6"/>
    <w:rsid w:val="00D12893"/>
    <w:rsid w:val="00D15E9F"/>
    <w:rsid w:val="00D20CAB"/>
    <w:rsid w:val="00D3260D"/>
    <w:rsid w:val="00D546CB"/>
    <w:rsid w:val="00D636A2"/>
    <w:rsid w:val="00D765D4"/>
    <w:rsid w:val="00DA4EFB"/>
    <w:rsid w:val="00DC51FF"/>
    <w:rsid w:val="00E0687D"/>
    <w:rsid w:val="00E12A96"/>
    <w:rsid w:val="00E12DA1"/>
    <w:rsid w:val="00E368A3"/>
    <w:rsid w:val="00E50286"/>
    <w:rsid w:val="00E66F42"/>
    <w:rsid w:val="00EB48FF"/>
    <w:rsid w:val="00EC17A5"/>
    <w:rsid w:val="00EC6C53"/>
    <w:rsid w:val="00F374D4"/>
    <w:rsid w:val="00F62C5C"/>
    <w:rsid w:val="00F85D3A"/>
    <w:rsid w:val="00FA67BD"/>
    <w:rsid w:val="00FB2BB7"/>
    <w:rsid w:val="00FB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,"/>
  <w14:docId w14:val="1B1066E2"/>
  <w15:docId w15:val="{9BF01D76-062A-42A0-9158-8E18B1A1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">
    <w:name w:val="_Note"/>
    <w:autoRedefine/>
    <w:rsid w:val="004F2B4C"/>
    <w:pPr>
      <w:spacing w:before="240" w:after="240" w:line="240" w:lineRule="auto"/>
      <w:jc w:val="both"/>
    </w:pPr>
    <w:rPr>
      <w:rFonts w:ascii="Arial" w:eastAsia="Times New Roman" w:hAnsi="Arial" w:cs="Arial"/>
      <w:b/>
      <w:spacing w:val="-5"/>
      <w:sz w:val="24"/>
      <w:szCs w:val="24"/>
      <w:lang w:val="nl-BE"/>
    </w:rPr>
  </w:style>
  <w:style w:type="paragraph" w:styleId="ListParagraph">
    <w:name w:val="List Paragraph"/>
    <w:basedOn w:val="Normal"/>
    <w:uiPriority w:val="34"/>
    <w:qFormat/>
    <w:rsid w:val="00EC17A5"/>
    <w:pPr>
      <w:ind w:left="720"/>
      <w:contextualSpacing/>
    </w:pPr>
  </w:style>
  <w:style w:type="table" w:styleId="TableGrid">
    <w:name w:val="Table Grid"/>
    <w:basedOn w:val="TableNormal"/>
    <w:rsid w:val="00972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6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3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2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B4C"/>
  </w:style>
  <w:style w:type="paragraph" w:styleId="Footer">
    <w:name w:val="footer"/>
    <w:basedOn w:val="Normal"/>
    <w:link w:val="FooterChar"/>
    <w:uiPriority w:val="99"/>
    <w:unhideWhenUsed/>
    <w:rsid w:val="004F2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B4C"/>
  </w:style>
  <w:style w:type="paragraph" w:styleId="FootnoteText">
    <w:name w:val="footnote text"/>
    <w:basedOn w:val="Normal"/>
    <w:link w:val="FootnoteTextChar"/>
    <w:uiPriority w:val="99"/>
    <w:semiHidden/>
    <w:unhideWhenUsed/>
    <w:rsid w:val="009E5E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5E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5E1D"/>
    <w:rPr>
      <w:vertAlign w:val="superscript"/>
    </w:rPr>
  </w:style>
  <w:style w:type="paragraph" w:styleId="Revision">
    <w:name w:val="Revision"/>
    <w:hidden/>
    <w:uiPriority w:val="99"/>
    <w:semiHidden/>
    <w:rsid w:val="00A539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ci.be/nl/publicaties-en-tools/modeldocumenten/modeldocumenten-detail-page/tools-voor-een-effici-nte-isa-au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57FC6C9899045BC1F6DFCE8170996" ma:contentTypeVersion="18" ma:contentTypeDescription="Create a new document." ma:contentTypeScope="" ma:versionID="b3b262afa2a7b433e6b1683e159186ee">
  <xsd:schema xmlns:xsd="http://www.w3.org/2001/XMLSchema" xmlns:xs="http://www.w3.org/2001/XMLSchema" xmlns:p="http://schemas.microsoft.com/office/2006/metadata/properties" xmlns:ns2="86d8d313-957f-44b4-bb66-f96f0d40e904" xmlns:ns3="ff960655-24fd-4f3f-8e9c-285049d99abf" targetNamespace="http://schemas.microsoft.com/office/2006/metadata/properties" ma:root="true" ma:fieldsID="eff3c16c0fe5fb1460f5a1306d1a6105" ns2:_="" ns3:_="">
    <xsd:import namespace="86d8d313-957f-44b4-bb66-f96f0d40e904"/>
    <xsd:import namespace="ff960655-24fd-4f3f-8e9c-285049d99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afbeelding" minOccurs="0"/>
                <xsd:element ref="ns2:MediaServiceLocation" minOccurs="0"/>
                <xsd:element ref="ns2:MediaLengthInSeconds" minOccurs="0"/>
                <xsd:element ref="ns2:nb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8d313-957f-44b4-bb66-f96f0d40e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fbeelding" ma:index="19" nillable="true" ma:displayName="afbeelding" ma:format="Thumbnail" ma:internalName="afbeelding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b" ma:index="22" nillable="true" ma:displayName="nb" ma:format="Dropdown" ma:internalName="nb" ma:percentage="FALSE">
      <xsd:simpleType>
        <xsd:restriction base="dms:Number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918316e-a107-409d-b431-985ec685cb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60655-24fd-4f3f-8e9c-285049d99a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fdd8afc-b80c-4d97-84ec-64aa09854bbf}" ma:internalName="TaxCatchAll" ma:showField="CatchAllData" ma:web="ff960655-24fd-4f3f-8e9c-285049d99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F823F-E464-4EF9-B38E-0886E323C7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9118C3-58A0-4B5F-8685-06634AEA35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11ADC-2CF1-41C4-A5BB-AAAE486EA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8d313-957f-44b4-bb66-f96f0d40e904"/>
    <ds:schemaRef ds:uri="ff960655-24fd-4f3f-8e9c-285049d99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1865</Words>
  <Characters>10637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IBR-IRE</Company>
  <LinksUpToDate>false</LinksUpToDate>
  <CharactersWithSpaces>12478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Interimair 2</dc:creator>
  <cp:lastModifiedBy>Quintart Stéphanie</cp:lastModifiedBy>
  <cp:revision>34</cp:revision>
  <cp:lastPrinted>2011-08-16T13:07:00Z</cp:lastPrinted>
  <dcterms:created xsi:type="dcterms:W3CDTF">2011-08-16T13:08:00Z</dcterms:created>
  <dcterms:modified xsi:type="dcterms:W3CDTF">2022-09-02T09:43:00Z</dcterms:modified>
</cp:coreProperties>
</file>