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94C8C" w14:textId="77777777" w:rsidR="0012514C" w:rsidRPr="004E6DBB" w:rsidRDefault="00A26E2A" w:rsidP="00A2359C">
      <w:pPr>
        <w:spacing w:line="240" w:lineRule="auto"/>
        <w:jc w:val="center"/>
        <w:rPr>
          <w:rFonts w:ascii="Times New Roman" w:hAnsi="Times New Roman"/>
          <w:sz w:val="24"/>
          <w:szCs w:val="24"/>
        </w:rPr>
      </w:pPr>
      <w:r w:rsidRPr="004E6DBB">
        <w:rPr>
          <w:rFonts w:ascii="Times New Roman" w:hAnsi="Times New Roman"/>
          <w:sz w:val="24"/>
          <w:szCs w:val="24"/>
        </w:rPr>
        <w:t>BIJLAGE</w:t>
      </w:r>
      <w:r w:rsidR="00450FBD" w:rsidRPr="004E6DBB">
        <w:rPr>
          <w:rFonts w:ascii="Times New Roman" w:hAnsi="Times New Roman"/>
          <w:sz w:val="24"/>
          <w:szCs w:val="24"/>
        </w:rPr>
        <w:t xml:space="preserve"> 2</w:t>
      </w:r>
    </w:p>
    <w:p w14:paraId="28B94C8D" w14:textId="77777777" w:rsidR="0012514C" w:rsidRPr="004E6DBB" w:rsidRDefault="0012514C" w:rsidP="00A2359C">
      <w:pPr>
        <w:pStyle w:val="BodyText"/>
        <w:spacing w:after="0" w:line="240" w:lineRule="auto"/>
        <w:jc w:val="center"/>
        <w:rPr>
          <w:rFonts w:ascii="Times New Roman" w:hAnsi="Times New Roman"/>
          <w:b/>
          <w:sz w:val="32"/>
          <w:szCs w:val="32"/>
        </w:rPr>
      </w:pPr>
    </w:p>
    <w:p w14:paraId="28B94C8E" w14:textId="77777777" w:rsidR="00A26E2A" w:rsidRPr="004E6DBB" w:rsidRDefault="00EB7592" w:rsidP="00A26E2A">
      <w:pPr>
        <w:pStyle w:val="BodyText"/>
        <w:spacing w:after="0" w:line="240" w:lineRule="auto"/>
        <w:ind w:left="708" w:hanging="708"/>
        <w:jc w:val="center"/>
        <w:rPr>
          <w:rFonts w:ascii="Times New Roman" w:hAnsi="Times New Roman"/>
          <w:b/>
          <w:sz w:val="24"/>
          <w:szCs w:val="24"/>
        </w:rPr>
      </w:pPr>
      <w:r w:rsidRPr="004E6DBB">
        <w:rPr>
          <w:rFonts w:ascii="Times New Roman" w:hAnsi="Times New Roman"/>
          <w:b/>
          <w:sz w:val="24"/>
          <w:szCs w:val="24"/>
        </w:rPr>
        <w:t>Lexicon en t</w:t>
      </w:r>
      <w:r w:rsidR="00A26E2A" w:rsidRPr="004E6DBB">
        <w:rPr>
          <w:rFonts w:ascii="Times New Roman" w:hAnsi="Times New Roman"/>
          <w:b/>
          <w:sz w:val="24"/>
          <w:szCs w:val="24"/>
        </w:rPr>
        <w:t>oepassing van de in de ISA</w:t>
      </w:r>
      <w:r w:rsidR="004D33E3" w:rsidRPr="004E6DBB">
        <w:rPr>
          <w:rFonts w:ascii="Times New Roman" w:hAnsi="Times New Roman"/>
          <w:b/>
          <w:sz w:val="24"/>
          <w:szCs w:val="24"/>
        </w:rPr>
        <w:t>’</w:t>
      </w:r>
      <w:r w:rsidR="00A26E2A" w:rsidRPr="004E6DBB">
        <w:rPr>
          <w:rFonts w:ascii="Times New Roman" w:hAnsi="Times New Roman"/>
          <w:b/>
          <w:sz w:val="24"/>
          <w:szCs w:val="24"/>
        </w:rPr>
        <w:t xml:space="preserve">s gehanteerde terminologie </w:t>
      </w:r>
    </w:p>
    <w:p w14:paraId="28B94C8F" w14:textId="77777777" w:rsidR="0012514C" w:rsidRPr="004E6DBB" w:rsidRDefault="00A26E2A" w:rsidP="00A26E2A">
      <w:pPr>
        <w:pStyle w:val="BodyText"/>
        <w:spacing w:after="0" w:line="240" w:lineRule="auto"/>
        <w:ind w:left="708" w:hanging="708"/>
        <w:jc w:val="center"/>
        <w:rPr>
          <w:rFonts w:ascii="Times New Roman" w:hAnsi="Times New Roman"/>
          <w:b/>
          <w:sz w:val="24"/>
          <w:szCs w:val="24"/>
        </w:rPr>
      </w:pPr>
      <w:r w:rsidRPr="004E6DBB">
        <w:rPr>
          <w:rFonts w:ascii="Times New Roman" w:hAnsi="Times New Roman"/>
          <w:b/>
          <w:sz w:val="24"/>
          <w:szCs w:val="24"/>
        </w:rPr>
        <w:t>afgestemd op de Belgische context</w:t>
      </w:r>
    </w:p>
    <w:p w14:paraId="28B94C90" w14:textId="77777777" w:rsidR="0012514C" w:rsidRPr="004E6DBB" w:rsidRDefault="0012514C" w:rsidP="00A2359C">
      <w:pPr>
        <w:pStyle w:val="BodyText"/>
        <w:spacing w:after="0" w:line="240" w:lineRule="auto"/>
        <w:rPr>
          <w:rFonts w:ascii="Times New Roman" w:hAnsi="Times New Roman"/>
          <w:sz w:val="24"/>
          <w:szCs w:val="24"/>
        </w:rPr>
      </w:pPr>
    </w:p>
    <w:p w14:paraId="28B94C91" w14:textId="77777777" w:rsidR="0012514C" w:rsidRPr="004E6DBB" w:rsidRDefault="00A26E2A" w:rsidP="00A2359C">
      <w:pPr>
        <w:pStyle w:val="BodyText"/>
        <w:spacing w:after="0" w:line="240" w:lineRule="auto"/>
        <w:jc w:val="both"/>
        <w:rPr>
          <w:rFonts w:ascii="Times New Roman" w:hAnsi="Times New Roman"/>
          <w:i/>
          <w:sz w:val="24"/>
          <w:szCs w:val="24"/>
        </w:rPr>
      </w:pPr>
      <w:r w:rsidRPr="004E6DBB">
        <w:rPr>
          <w:rFonts w:ascii="Times New Roman" w:hAnsi="Times New Roman"/>
          <w:i/>
          <w:sz w:val="24"/>
          <w:szCs w:val="24"/>
        </w:rPr>
        <w:t>Waarschuwing</w:t>
      </w:r>
    </w:p>
    <w:p w14:paraId="28B94C92" w14:textId="77777777" w:rsidR="0012514C" w:rsidRPr="004E6DBB" w:rsidRDefault="0012514C" w:rsidP="00A2359C">
      <w:pPr>
        <w:pStyle w:val="BodyText"/>
        <w:spacing w:after="0" w:line="240" w:lineRule="auto"/>
        <w:jc w:val="both"/>
        <w:rPr>
          <w:rFonts w:ascii="Times New Roman" w:hAnsi="Times New Roman"/>
          <w:sz w:val="24"/>
          <w:szCs w:val="24"/>
        </w:rPr>
      </w:pPr>
    </w:p>
    <w:p w14:paraId="28B94C93" w14:textId="77777777" w:rsidR="0012514C" w:rsidRPr="004E6DBB" w:rsidRDefault="00A26E2A" w:rsidP="00A2359C">
      <w:pPr>
        <w:pStyle w:val="BodyText"/>
        <w:spacing w:after="0" w:line="240" w:lineRule="auto"/>
        <w:jc w:val="both"/>
        <w:rPr>
          <w:rFonts w:ascii="Times New Roman" w:hAnsi="Times New Roman"/>
          <w:sz w:val="24"/>
          <w:szCs w:val="24"/>
        </w:rPr>
      </w:pPr>
      <w:r w:rsidRPr="004E6DBB">
        <w:rPr>
          <w:rFonts w:ascii="Times New Roman" w:hAnsi="Times New Roman"/>
          <w:sz w:val="24"/>
          <w:szCs w:val="24"/>
        </w:rPr>
        <w:t xml:space="preserve">De in de ISA’s gehanteerde terminologie werd zodanig opgesteld dat deze standaarden op internationaal niveau van toepassing kunnen zijn, alsook verenigbaar zijn met verschillende jurisdicties. De hiernavolgende lijst omvat bepaalde in de ISA’s gehanteerde termen afgestemd op de Belgische context. Enerzijds is deze lijst niet exhaustief en anderzijds zijn de definities die werden opgenomen slechts richtinggevend. </w:t>
      </w:r>
    </w:p>
    <w:p w14:paraId="28B94C94" w14:textId="77777777" w:rsidR="00743172" w:rsidRPr="004E6DBB" w:rsidRDefault="00743172">
      <w:pPr>
        <w:pStyle w:val="BodyText"/>
        <w:spacing w:after="0" w:line="24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C07FC" w:rsidRPr="004E6DBB" w14:paraId="28B94C97" w14:textId="77777777" w:rsidTr="002C07FC">
        <w:tc>
          <w:tcPr>
            <w:tcW w:w="4606" w:type="dxa"/>
          </w:tcPr>
          <w:p w14:paraId="28B94C95" w14:textId="77777777" w:rsidR="002C07FC" w:rsidRPr="004E6DBB" w:rsidRDefault="00EB7592" w:rsidP="002C07FC">
            <w:pPr>
              <w:pStyle w:val="BodyText"/>
              <w:spacing w:after="0"/>
              <w:rPr>
                <w:rFonts w:ascii="Times New Roman" w:hAnsi="Times New Roman"/>
                <w:b/>
                <w:sz w:val="24"/>
                <w:szCs w:val="24"/>
                <w:u w:val="single"/>
              </w:rPr>
            </w:pPr>
            <w:r w:rsidRPr="004E6DBB">
              <w:rPr>
                <w:rFonts w:ascii="Times New Roman" w:hAnsi="Times New Roman"/>
                <w:b/>
                <w:sz w:val="24"/>
                <w:szCs w:val="24"/>
                <w:u w:val="single"/>
              </w:rPr>
              <w:t>Lijst van termen</w:t>
            </w:r>
          </w:p>
        </w:tc>
        <w:tc>
          <w:tcPr>
            <w:tcW w:w="4606" w:type="dxa"/>
          </w:tcPr>
          <w:p w14:paraId="28B94C96" w14:textId="77777777" w:rsidR="002C07FC" w:rsidRPr="004E6DBB" w:rsidRDefault="002C07FC" w:rsidP="002C07FC">
            <w:pPr>
              <w:pStyle w:val="BodyText"/>
              <w:spacing w:after="0"/>
              <w:rPr>
                <w:rFonts w:ascii="Times New Roman" w:hAnsi="Times New Roman"/>
                <w:b/>
                <w:sz w:val="24"/>
                <w:szCs w:val="24"/>
                <w:u w:val="single"/>
              </w:rPr>
            </w:pPr>
            <w:r w:rsidRPr="004E6DBB">
              <w:rPr>
                <w:rFonts w:ascii="Times New Roman" w:hAnsi="Times New Roman"/>
                <w:b/>
                <w:sz w:val="24"/>
                <w:szCs w:val="24"/>
                <w:u w:val="single"/>
              </w:rPr>
              <w:t>Toepassing in de Belgische context</w:t>
            </w:r>
          </w:p>
        </w:tc>
      </w:tr>
    </w:tbl>
    <w:p w14:paraId="28B94C98" w14:textId="77777777" w:rsidR="00743172" w:rsidRPr="004E6DBB" w:rsidRDefault="00743172" w:rsidP="0069623F">
      <w:pPr>
        <w:pStyle w:val="BodyText"/>
        <w:spacing w:before="12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4606"/>
        <w:gridCol w:w="4606"/>
      </w:tblGrid>
      <w:tr w:rsidR="00EB7592" w:rsidRPr="004E6DBB" w14:paraId="28B94C9C" w14:textId="77777777" w:rsidTr="000F70A6">
        <w:tc>
          <w:tcPr>
            <w:tcW w:w="4606" w:type="dxa"/>
          </w:tcPr>
          <w:p w14:paraId="28B94C99" w14:textId="77777777" w:rsidR="00EB7592" w:rsidRPr="004E6DBB" w:rsidRDefault="00EB7592" w:rsidP="0069623F">
            <w:pPr>
              <w:pStyle w:val="BodyText"/>
              <w:spacing w:before="120"/>
              <w:jc w:val="both"/>
              <w:rPr>
                <w:rFonts w:ascii="Times New Roman" w:hAnsi="Times New Roman"/>
                <w:b/>
                <w:iCs/>
                <w:sz w:val="24"/>
                <w:szCs w:val="24"/>
                <w:lang w:val="fr-FR"/>
              </w:rPr>
            </w:pPr>
            <w:r w:rsidRPr="004E6DBB">
              <w:rPr>
                <w:rFonts w:ascii="Times New Roman" w:hAnsi="Times New Roman"/>
                <w:b/>
                <w:iCs/>
                <w:sz w:val="24"/>
                <w:szCs w:val="24"/>
                <w:lang w:val="fr-FR"/>
              </w:rPr>
              <w:t>Andere informatie:</w:t>
            </w:r>
          </w:p>
        </w:tc>
        <w:tc>
          <w:tcPr>
            <w:tcW w:w="4606" w:type="dxa"/>
          </w:tcPr>
          <w:p w14:paraId="28B94C9A" w14:textId="77777777" w:rsidR="00EB7592" w:rsidRPr="004E6DBB" w:rsidRDefault="00EB7592" w:rsidP="0069623F">
            <w:pPr>
              <w:pStyle w:val="BodyText"/>
              <w:spacing w:before="120"/>
              <w:jc w:val="both"/>
              <w:rPr>
                <w:rFonts w:ascii="Times New Roman" w:hAnsi="Times New Roman"/>
                <w:b/>
                <w:sz w:val="24"/>
                <w:szCs w:val="24"/>
              </w:rPr>
            </w:pPr>
            <w:r w:rsidRPr="004E6DBB">
              <w:rPr>
                <w:rFonts w:ascii="Times New Roman" w:hAnsi="Times New Roman"/>
                <w:b/>
                <w:sz w:val="24"/>
                <w:szCs w:val="24"/>
              </w:rPr>
              <w:t>Andere informatie zoals gedefinieerd door ISA 720 (Herzien)</w:t>
            </w:r>
          </w:p>
          <w:p w14:paraId="28B94C9B" w14:textId="77777777" w:rsidR="00EB7592" w:rsidRPr="004E6DBB" w:rsidRDefault="00EB7592" w:rsidP="0069623F">
            <w:pPr>
              <w:pStyle w:val="BodyText"/>
              <w:spacing w:before="120"/>
              <w:jc w:val="both"/>
              <w:rPr>
                <w:rFonts w:ascii="Times New Roman" w:hAnsi="Times New Roman"/>
                <w:sz w:val="24"/>
                <w:szCs w:val="24"/>
              </w:rPr>
            </w:pPr>
            <w:r w:rsidRPr="004E6DBB">
              <w:rPr>
                <w:rFonts w:ascii="Times New Roman" w:hAnsi="Times New Roman"/>
                <w:sz w:val="24"/>
                <w:szCs w:val="24"/>
              </w:rPr>
              <w:t>In de Belgische context gaat het over het jaarverslag en, in voorkomend geval, de “andere informatie opgenomen in het jaarrapport”</w:t>
            </w:r>
          </w:p>
        </w:tc>
      </w:tr>
      <w:tr w:rsidR="00EB7592" w:rsidRPr="004E6DBB" w14:paraId="28B94C9F" w14:textId="77777777" w:rsidTr="000F70A6">
        <w:tc>
          <w:tcPr>
            <w:tcW w:w="4606" w:type="dxa"/>
          </w:tcPr>
          <w:p w14:paraId="28B94C9D" w14:textId="77777777" w:rsidR="00EB7592" w:rsidRPr="004E6DBB" w:rsidRDefault="00EB7592" w:rsidP="0069623F">
            <w:pPr>
              <w:pStyle w:val="BodyText"/>
              <w:spacing w:before="120"/>
              <w:jc w:val="both"/>
              <w:rPr>
                <w:rFonts w:ascii="Times New Roman" w:hAnsi="Times New Roman"/>
                <w:b/>
                <w:iCs/>
                <w:sz w:val="24"/>
                <w:szCs w:val="24"/>
              </w:rPr>
            </w:pPr>
            <w:r w:rsidRPr="004E6DBB">
              <w:rPr>
                <w:rFonts w:ascii="Times New Roman" w:hAnsi="Times New Roman"/>
                <w:b/>
                <w:sz w:val="24"/>
                <w:szCs w:val="24"/>
              </w:rPr>
              <w:t>Andere informatie opgenomen in het jaarrapport:</w:t>
            </w:r>
          </w:p>
        </w:tc>
        <w:tc>
          <w:tcPr>
            <w:tcW w:w="4606" w:type="dxa"/>
          </w:tcPr>
          <w:p w14:paraId="28B94C9E" w14:textId="77777777" w:rsidR="00EB7592" w:rsidRPr="004E6DBB" w:rsidRDefault="00EB7592" w:rsidP="0069623F">
            <w:pPr>
              <w:pStyle w:val="BodyText"/>
              <w:spacing w:before="120"/>
              <w:jc w:val="both"/>
              <w:rPr>
                <w:rFonts w:ascii="Times New Roman" w:hAnsi="Times New Roman"/>
                <w:sz w:val="24"/>
                <w:szCs w:val="24"/>
              </w:rPr>
            </w:pPr>
            <w:r w:rsidRPr="004E6DBB">
              <w:rPr>
                <w:rFonts w:ascii="Times New Roman" w:hAnsi="Times New Roman"/>
                <w:sz w:val="24"/>
                <w:szCs w:val="24"/>
              </w:rPr>
              <w:t>Financiële of niet-financiële informatie - anders dan het jaarverslag, de (geconsolideerde) jaarrekening en het daarbij horende commissarisverslag - opgenomen in het jaarrapport van de entiteit (par. 13 van ISA 720 (Herzien))</w:t>
            </w:r>
          </w:p>
        </w:tc>
      </w:tr>
      <w:tr w:rsidR="007A303D" w:rsidRPr="004E6DBB" w14:paraId="28B94CA2" w14:textId="77777777" w:rsidTr="000F70A6">
        <w:tc>
          <w:tcPr>
            <w:tcW w:w="4606" w:type="dxa"/>
          </w:tcPr>
          <w:p w14:paraId="28B94CA0" w14:textId="77777777" w:rsidR="007A303D" w:rsidRPr="004E6DBB" w:rsidRDefault="007A303D" w:rsidP="0069623F">
            <w:pPr>
              <w:pStyle w:val="BodyText"/>
              <w:spacing w:before="120"/>
              <w:jc w:val="both"/>
              <w:rPr>
                <w:rFonts w:ascii="Times New Roman" w:hAnsi="Times New Roman"/>
                <w:sz w:val="24"/>
                <w:szCs w:val="24"/>
                <w:lang w:val="fr-FR"/>
              </w:rPr>
            </w:pPr>
            <w:r w:rsidRPr="004E6DBB">
              <w:rPr>
                <w:rFonts w:ascii="Times New Roman" w:hAnsi="Times New Roman"/>
                <w:b/>
                <w:i/>
                <w:iCs/>
                <w:sz w:val="24"/>
                <w:szCs w:val="24"/>
                <w:lang w:val="fr-FR"/>
              </w:rPr>
              <w:t>Assurance</w:t>
            </w:r>
            <w:r w:rsidRPr="004E6DBB">
              <w:rPr>
                <w:rFonts w:ascii="Times New Roman" w:hAnsi="Times New Roman"/>
                <w:b/>
                <w:iCs/>
                <w:sz w:val="24"/>
                <w:szCs w:val="24"/>
                <w:lang w:val="fr-FR"/>
              </w:rPr>
              <w:t>-opdracht</w:t>
            </w:r>
            <w:r w:rsidRPr="004E6DBB">
              <w:rPr>
                <w:rFonts w:ascii="Times New Roman" w:hAnsi="Times New Roman"/>
                <w:b/>
                <w:sz w:val="24"/>
                <w:szCs w:val="24"/>
                <w:lang w:val="fr-FR"/>
              </w:rPr>
              <w:t>:</w:t>
            </w:r>
          </w:p>
        </w:tc>
        <w:tc>
          <w:tcPr>
            <w:tcW w:w="4606" w:type="dxa"/>
          </w:tcPr>
          <w:p w14:paraId="28B94CA1" w14:textId="77777777" w:rsidR="007A303D" w:rsidRPr="004E6DBB" w:rsidRDefault="007A303D" w:rsidP="0069623F">
            <w:pPr>
              <w:pStyle w:val="BodyText"/>
              <w:spacing w:before="120"/>
              <w:jc w:val="both"/>
              <w:rPr>
                <w:rFonts w:ascii="Times New Roman" w:hAnsi="Times New Roman"/>
                <w:sz w:val="24"/>
                <w:szCs w:val="24"/>
              </w:rPr>
            </w:pPr>
            <w:r w:rsidRPr="004E6DBB">
              <w:rPr>
                <w:rFonts w:ascii="Times New Roman" w:hAnsi="Times New Roman"/>
                <w:sz w:val="24"/>
                <w:szCs w:val="24"/>
              </w:rPr>
              <w:t>Enerzijds, de opdrachten betreffende de wettelijke controle van de (geconsolideerde) jaarrekening teneinde een redelijke mate van zekerheid te bekomen dat de (geconsolideerde) jaarrekening geen afwijkingen van materieel belang bevat die het gevolg zijn van fraude of van fouten, en, anderzijds, beoordelingsopdrachten teneinde een beperkte mate van zekerheid te bekomen dat niets erop wijst dat de jaarrekening een afwijking van materieel belang bevat, alsook de opdrachten andere dan de opdrachten betreffende de wettelijke controle van de (geconsolideerde) jaarrekening of de beoordelingsopdrachten teneinde een redelijke dan wel een beperkte mate van zekerheid te bekomen omtrent een welbepaald object</w:t>
            </w:r>
          </w:p>
        </w:tc>
      </w:tr>
      <w:tr w:rsidR="007A303D" w:rsidRPr="004E6DBB" w14:paraId="28B94CAA" w14:textId="77777777" w:rsidTr="000F70A6">
        <w:tc>
          <w:tcPr>
            <w:tcW w:w="4606" w:type="dxa"/>
          </w:tcPr>
          <w:p w14:paraId="28B94CA6" w14:textId="77777777" w:rsidR="007A303D" w:rsidRPr="004E6DBB" w:rsidRDefault="007A303D" w:rsidP="0069623F">
            <w:pPr>
              <w:pStyle w:val="BodyText"/>
              <w:spacing w:before="120" w:line="276" w:lineRule="auto"/>
              <w:rPr>
                <w:rFonts w:ascii="Times New Roman" w:hAnsi="Times New Roman"/>
                <w:b/>
                <w:sz w:val="24"/>
                <w:szCs w:val="24"/>
              </w:rPr>
            </w:pPr>
            <w:r w:rsidRPr="004E6DBB">
              <w:rPr>
                <w:rFonts w:ascii="Times New Roman" w:hAnsi="Times New Roman"/>
                <w:b/>
                <w:sz w:val="24"/>
                <w:szCs w:val="24"/>
              </w:rPr>
              <w:lastRenderedPageBreak/>
              <w:t>Controleverklaring van de onafhankelijke auditor:</w:t>
            </w:r>
          </w:p>
          <w:p w14:paraId="28B94CA7" w14:textId="77777777" w:rsidR="007A303D" w:rsidRPr="004E6DBB" w:rsidRDefault="007A303D" w:rsidP="0069623F">
            <w:pPr>
              <w:pStyle w:val="BodyText"/>
              <w:spacing w:before="120" w:line="276" w:lineRule="auto"/>
              <w:rPr>
                <w:rFonts w:ascii="Times New Roman" w:hAnsi="Times New Roman"/>
                <w:b/>
                <w:sz w:val="24"/>
                <w:szCs w:val="24"/>
              </w:rPr>
            </w:pPr>
          </w:p>
        </w:tc>
        <w:tc>
          <w:tcPr>
            <w:tcW w:w="4606" w:type="dxa"/>
          </w:tcPr>
          <w:p w14:paraId="28B94CA8" w14:textId="77777777" w:rsidR="007A303D" w:rsidRPr="004E6DBB" w:rsidRDefault="007A303D" w:rsidP="0069623F">
            <w:pPr>
              <w:pStyle w:val="BodyText"/>
              <w:spacing w:before="120"/>
              <w:jc w:val="both"/>
              <w:rPr>
                <w:rFonts w:ascii="Times New Roman" w:hAnsi="Times New Roman"/>
                <w:b/>
                <w:sz w:val="24"/>
                <w:szCs w:val="24"/>
              </w:rPr>
            </w:pPr>
            <w:r w:rsidRPr="004E6DBB">
              <w:rPr>
                <w:rFonts w:ascii="Times New Roman" w:hAnsi="Times New Roman"/>
                <w:b/>
                <w:sz w:val="24"/>
                <w:szCs w:val="24"/>
              </w:rPr>
              <w:t>Commissarisverslag</w:t>
            </w:r>
          </w:p>
          <w:p w14:paraId="28B94CA9" w14:textId="0A3ED3E3" w:rsidR="007A303D" w:rsidRPr="004E6DBB" w:rsidRDefault="007A303D" w:rsidP="0069623F">
            <w:pPr>
              <w:pStyle w:val="BodyText"/>
              <w:spacing w:before="120"/>
              <w:jc w:val="both"/>
              <w:rPr>
                <w:rFonts w:ascii="Times New Roman" w:hAnsi="Times New Roman"/>
                <w:sz w:val="24"/>
                <w:szCs w:val="24"/>
              </w:rPr>
            </w:pPr>
            <w:r w:rsidRPr="004E6DBB">
              <w:rPr>
                <w:rFonts w:ascii="Times New Roman" w:hAnsi="Times New Roman"/>
                <w:sz w:val="24"/>
                <w:szCs w:val="24"/>
              </w:rPr>
              <w:t xml:space="preserve">Het verslag van de commissaris uitgebracht in het kader van de wettelijke controle van de (geconsolideerde) jaarrekening overeenkomstig de artikelen </w:t>
            </w:r>
            <w:r w:rsidR="00BF783C">
              <w:rPr>
                <w:rFonts w:ascii="Times New Roman" w:hAnsi="Times New Roman"/>
                <w:sz w:val="24"/>
                <w:szCs w:val="24"/>
              </w:rPr>
              <w:t>3:75</w:t>
            </w:r>
            <w:r w:rsidR="00BF783C" w:rsidRPr="004E6DBB">
              <w:rPr>
                <w:rFonts w:ascii="Times New Roman" w:hAnsi="Times New Roman"/>
                <w:sz w:val="24"/>
                <w:szCs w:val="24"/>
              </w:rPr>
              <w:t xml:space="preserve"> </w:t>
            </w:r>
            <w:r w:rsidRPr="004E6DBB">
              <w:rPr>
                <w:rFonts w:ascii="Times New Roman" w:hAnsi="Times New Roman"/>
                <w:sz w:val="24"/>
                <w:szCs w:val="24"/>
              </w:rPr>
              <w:t xml:space="preserve">en </w:t>
            </w:r>
            <w:r w:rsidR="00BF783C">
              <w:rPr>
                <w:rFonts w:ascii="Times New Roman" w:hAnsi="Times New Roman"/>
                <w:sz w:val="24"/>
                <w:szCs w:val="24"/>
              </w:rPr>
              <w:t>3:80</w:t>
            </w:r>
            <w:r w:rsidR="00BF783C" w:rsidRPr="004E6DBB">
              <w:rPr>
                <w:rFonts w:ascii="Times New Roman" w:hAnsi="Times New Roman"/>
                <w:sz w:val="24"/>
                <w:szCs w:val="24"/>
              </w:rPr>
              <w:t xml:space="preserve"> </w:t>
            </w:r>
            <w:r w:rsidRPr="004E6DBB">
              <w:rPr>
                <w:rFonts w:ascii="Times New Roman" w:hAnsi="Times New Roman"/>
                <w:sz w:val="24"/>
                <w:szCs w:val="24"/>
              </w:rPr>
              <w:t>van het Wetboek van vennootschappen</w:t>
            </w:r>
            <w:r w:rsidR="00BF783C">
              <w:rPr>
                <w:rFonts w:ascii="Times New Roman" w:hAnsi="Times New Roman"/>
                <w:sz w:val="24"/>
                <w:szCs w:val="24"/>
              </w:rPr>
              <w:t xml:space="preserve"> en verenigingen</w:t>
            </w:r>
            <w:r w:rsidRPr="004E6DBB">
              <w:rPr>
                <w:rFonts w:ascii="Times New Roman" w:hAnsi="Times New Roman"/>
                <w:sz w:val="24"/>
                <w:szCs w:val="24"/>
              </w:rPr>
              <w:t>, dat het verslag over de (geconsolideerde) jaarrekening en de overige door wet- en regelgeving gestelde eisen omvat; deze vormen een geheel en zijn ondeelbaar</w:t>
            </w:r>
          </w:p>
        </w:tc>
      </w:tr>
      <w:tr w:rsidR="007A303D" w:rsidRPr="004E6DBB" w14:paraId="28B94CAD" w14:textId="77777777" w:rsidTr="000F70A6">
        <w:tc>
          <w:tcPr>
            <w:tcW w:w="4606" w:type="dxa"/>
          </w:tcPr>
          <w:p w14:paraId="28B94CAB" w14:textId="77777777" w:rsidR="007A303D" w:rsidRPr="004E6DBB" w:rsidRDefault="007A303D" w:rsidP="0069623F">
            <w:pPr>
              <w:pStyle w:val="BodyText"/>
              <w:spacing w:before="120"/>
              <w:rPr>
                <w:rFonts w:ascii="Times New Roman" w:hAnsi="Times New Roman"/>
                <w:b/>
                <w:sz w:val="24"/>
                <w:szCs w:val="24"/>
                <w:lang w:val="fr-FR"/>
              </w:rPr>
            </w:pPr>
            <w:r w:rsidRPr="004E6DBB">
              <w:rPr>
                <w:rFonts w:ascii="Times New Roman" w:hAnsi="Times New Roman"/>
                <w:b/>
                <w:sz w:val="24"/>
                <w:szCs w:val="24"/>
                <w:lang w:val="fr-FR"/>
              </w:rPr>
              <w:t>Degenen belast met governance:</w:t>
            </w:r>
          </w:p>
        </w:tc>
        <w:tc>
          <w:tcPr>
            <w:tcW w:w="4606" w:type="dxa"/>
          </w:tcPr>
          <w:p w14:paraId="28B94CAC" w14:textId="77777777" w:rsidR="007A303D" w:rsidRPr="004E6DBB" w:rsidRDefault="007A303D" w:rsidP="0069623F">
            <w:pPr>
              <w:pStyle w:val="BodyText"/>
              <w:spacing w:before="120"/>
              <w:jc w:val="both"/>
              <w:rPr>
                <w:rFonts w:ascii="Times New Roman" w:hAnsi="Times New Roman"/>
                <w:sz w:val="24"/>
                <w:szCs w:val="24"/>
              </w:rPr>
            </w:pPr>
            <w:r w:rsidRPr="004E6DBB">
              <w:rPr>
                <w:rFonts w:ascii="Times New Roman" w:hAnsi="Times New Roman"/>
                <w:sz w:val="24"/>
                <w:szCs w:val="24"/>
              </w:rPr>
              <w:t>In principe het bestuursorgaan of, in voorkomend geval, het auditcomité</w:t>
            </w:r>
          </w:p>
        </w:tc>
      </w:tr>
      <w:tr w:rsidR="00743172" w:rsidRPr="004E6DBB" w14:paraId="28B94CB4" w14:textId="77777777" w:rsidTr="000F70A6">
        <w:tc>
          <w:tcPr>
            <w:tcW w:w="4606" w:type="dxa"/>
          </w:tcPr>
          <w:p w14:paraId="28B94CB1" w14:textId="77777777" w:rsidR="00743172" w:rsidRPr="004E6DBB" w:rsidRDefault="00162CB5" w:rsidP="0069623F">
            <w:pPr>
              <w:pStyle w:val="BodyText"/>
              <w:spacing w:before="120"/>
              <w:jc w:val="both"/>
              <w:rPr>
                <w:rFonts w:ascii="Times New Roman" w:hAnsi="Times New Roman"/>
                <w:sz w:val="24"/>
                <w:szCs w:val="24"/>
                <w:lang w:val="fr-FR"/>
              </w:rPr>
            </w:pPr>
            <w:r w:rsidRPr="004E6DBB">
              <w:rPr>
                <w:rFonts w:ascii="Times New Roman" w:hAnsi="Times New Roman"/>
                <w:b/>
                <w:sz w:val="24"/>
                <w:szCs w:val="24"/>
                <w:lang w:val="fr-FR"/>
              </w:rPr>
              <w:t>Financiële overzichten</w:t>
            </w:r>
            <w:r w:rsidR="009711F4" w:rsidRPr="004E6DBB">
              <w:rPr>
                <w:rFonts w:ascii="Times New Roman" w:hAnsi="Times New Roman"/>
                <w:b/>
                <w:sz w:val="24"/>
                <w:szCs w:val="24"/>
                <w:lang w:val="fr-FR"/>
              </w:rPr>
              <w:t>:</w:t>
            </w:r>
          </w:p>
        </w:tc>
        <w:tc>
          <w:tcPr>
            <w:tcW w:w="4606" w:type="dxa"/>
          </w:tcPr>
          <w:p w14:paraId="28B94CB2" w14:textId="77777777" w:rsidR="00743172" w:rsidRPr="004E6DBB" w:rsidRDefault="00162CB5" w:rsidP="0069623F">
            <w:pPr>
              <w:pStyle w:val="BodyText"/>
              <w:spacing w:before="120"/>
              <w:jc w:val="both"/>
              <w:rPr>
                <w:rFonts w:ascii="Times New Roman" w:hAnsi="Times New Roman"/>
                <w:b/>
                <w:sz w:val="24"/>
                <w:szCs w:val="24"/>
              </w:rPr>
            </w:pPr>
            <w:r w:rsidRPr="004E6DBB">
              <w:rPr>
                <w:rFonts w:ascii="Times New Roman" w:hAnsi="Times New Roman"/>
                <w:b/>
                <w:sz w:val="24"/>
                <w:szCs w:val="24"/>
              </w:rPr>
              <w:t>Jaarrekening of geconsolideerde jaarrekening</w:t>
            </w:r>
          </w:p>
          <w:p w14:paraId="28B94CB3" w14:textId="0AE07056" w:rsidR="009711F4" w:rsidRPr="004E6DBB" w:rsidRDefault="00EB7592" w:rsidP="0069623F">
            <w:pPr>
              <w:spacing w:before="120" w:after="120"/>
              <w:jc w:val="both"/>
              <w:rPr>
                <w:rFonts w:ascii="Times New Roman" w:hAnsi="Times New Roman"/>
                <w:sz w:val="24"/>
                <w:szCs w:val="24"/>
              </w:rPr>
            </w:pPr>
            <w:r w:rsidRPr="004E6DBB">
              <w:rPr>
                <w:rFonts w:ascii="Times New Roman" w:hAnsi="Times New Roman"/>
                <w:sz w:val="24"/>
                <w:szCs w:val="24"/>
              </w:rPr>
              <w:t xml:space="preserve">De (geconsolideerde) jaarrekening bedoeld in </w:t>
            </w:r>
            <w:r w:rsidR="00BF783C">
              <w:rPr>
                <w:rFonts w:ascii="Times New Roman" w:hAnsi="Times New Roman"/>
                <w:sz w:val="24"/>
                <w:szCs w:val="24"/>
              </w:rPr>
              <w:t>Boek 3, T</w:t>
            </w:r>
            <w:r w:rsidR="00BF783C" w:rsidRPr="004E6DBB">
              <w:rPr>
                <w:rFonts w:ascii="Times New Roman" w:hAnsi="Times New Roman"/>
                <w:sz w:val="24"/>
                <w:szCs w:val="24"/>
              </w:rPr>
              <w:t>itel</w:t>
            </w:r>
            <w:r w:rsidR="00BF783C">
              <w:rPr>
                <w:rFonts w:ascii="Times New Roman" w:hAnsi="Times New Roman"/>
                <w:sz w:val="24"/>
                <w:szCs w:val="24"/>
              </w:rPr>
              <w:t>s I en II</w:t>
            </w:r>
            <w:r w:rsidRPr="004E6DBB">
              <w:rPr>
                <w:rFonts w:ascii="Times New Roman" w:hAnsi="Times New Roman"/>
                <w:sz w:val="24"/>
                <w:szCs w:val="24"/>
              </w:rPr>
              <w:t xml:space="preserve"> van het Wetboek van vennootschappen</w:t>
            </w:r>
            <w:r w:rsidR="00BF783C">
              <w:rPr>
                <w:rFonts w:ascii="Times New Roman" w:hAnsi="Times New Roman"/>
                <w:sz w:val="24"/>
                <w:szCs w:val="24"/>
              </w:rPr>
              <w:t xml:space="preserve"> en verenigingen</w:t>
            </w:r>
            <w:r w:rsidRPr="004E6DBB">
              <w:rPr>
                <w:rFonts w:ascii="Times New Roman" w:hAnsi="Times New Roman"/>
                <w:sz w:val="24"/>
                <w:szCs w:val="24"/>
              </w:rPr>
              <w:t xml:space="preserve"> of bedoeld in andere wetgeving die van toepassing is op entiteiten anders dan de vennootschappen</w:t>
            </w:r>
            <w:r w:rsidR="00BF783C">
              <w:rPr>
                <w:rFonts w:ascii="Times New Roman" w:hAnsi="Times New Roman"/>
                <w:sz w:val="24"/>
                <w:szCs w:val="24"/>
              </w:rPr>
              <w:t xml:space="preserve"> en de verenigingen</w:t>
            </w:r>
            <w:r w:rsidRPr="004E6DBB">
              <w:rPr>
                <w:rFonts w:ascii="Times New Roman" w:hAnsi="Times New Roman"/>
                <w:sz w:val="24"/>
                <w:szCs w:val="24"/>
              </w:rPr>
              <w:t xml:space="preserve"> waarop voormeld</w:t>
            </w:r>
            <w:r w:rsidR="00BF783C">
              <w:rPr>
                <w:rFonts w:ascii="Times New Roman" w:hAnsi="Times New Roman"/>
                <w:sz w:val="24"/>
                <w:szCs w:val="24"/>
              </w:rPr>
              <w:t xml:space="preserve"> Boek 3, Titels I en II</w:t>
            </w:r>
            <w:r w:rsidRPr="004E6DBB">
              <w:rPr>
                <w:rFonts w:ascii="Times New Roman" w:hAnsi="Times New Roman"/>
                <w:sz w:val="24"/>
                <w:szCs w:val="24"/>
              </w:rPr>
              <w:t xml:space="preserve"> van toepassing is; beoogt tevens de notie van “financiële overzichten” zoals omschreven door ISA 700 (Herzien), § 8 (f)</w:t>
            </w:r>
          </w:p>
        </w:tc>
      </w:tr>
      <w:tr w:rsidR="00A2359C" w:rsidRPr="004E6DBB" w14:paraId="28B94CB7" w14:textId="77777777" w:rsidTr="000F70A6">
        <w:tc>
          <w:tcPr>
            <w:tcW w:w="4606" w:type="dxa"/>
          </w:tcPr>
          <w:p w14:paraId="28B94CB5" w14:textId="77777777" w:rsidR="00A2359C" w:rsidRPr="004E6DBB" w:rsidRDefault="00EB7592" w:rsidP="0069623F">
            <w:pPr>
              <w:pStyle w:val="BodyText"/>
              <w:spacing w:before="120"/>
              <w:jc w:val="both"/>
              <w:rPr>
                <w:rFonts w:ascii="Times New Roman" w:hAnsi="Times New Roman"/>
                <w:b/>
                <w:sz w:val="24"/>
                <w:szCs w:val="24"/>
              </w:rPr>
            </w:pPr>
            <w:r w:rsidRPr="004E6DBB">
              <w:rPr>
                <w:rFonts w:ascii="Times New Roman" w:hAnsi="Times New Roman"/>
                <w:b/>
                <w:sz w:val="24"/>
                <w:szCs w:val="24"/>
              </w:rPr>
              <w:t xml:space="preserve">Genoteerde entiteit: </w:t>
            </w:r>
          </w:p>
        </w:tc>
        <w:tc>
          <w:tcPr>
            <w:tcW w:w="4606" w:type="dxa"/>
          </w:tcPr>
          <w:p w14:paraId="28B94CB6" w14:textId="0CD1D58F" w:rsidR="00A2359C" w:rsidRPr="004E6DBB" w:rsidRDefault="00EB7592" w:rsidP="0069623F">
            <w:pPr>
              <w:pStyle w:val="BodyText"/>
              <w:spacing w:before="120"/>
              <w:jc w:val="both"/>
              <w:rPr>
                <w:rFonts w:ascii="Times New Roman" w:hAnsi="Times New Roman"/>
                <w:b/>
                <w:sz w:val="24"/>
                <w:szCs w:val="24"/>
              </w:rPr>
            </w:pPr>
            <w:r w:rsidRPr="004E6DBB">
              <w:rPr>
                <w:rFonts w:ascii="Times New Roman" w:eastAsiaTheme="minorHAnsi" w:hAnsi="Times New Roman" w:cstheme="minorBidi"/>
                <w:b/>
                <w:sz w:val="24"/>
                <w:szCs w:val="24"/>
              </w:rPr>
              <w:t>Genoteerde entiteit in de zin van</w:t>
            </w:r>
            <w:r w:rsidR="00CE246F" w:rsidRPr="004E6DBB">
              <w:rPr>
                <w:rFonts w:ascii="Times New Roman" w:eastAsiaTheme="minorHAnsi" w:hAnsi="Times New Roman" w:cstheme="minorBidi"/>
                <w:b/>
                <w:sz w:val="24"/>
                <w:szCs w:val="24"/>
              </w:rPr>
              <w:t xml:space="preserve"> de ISA’s</w:t>
            </w:r>
            <w:r w:rsidRPr="004E6DBB">
              <w:rPr>
                <w:rFonts w:ascii="Times New Roman" w:eastAsiaTheme="minorHAnsi" w:hAnsi="Times New Roman" w:cstheme="minorBidi"/>
                <w:sz w:val="24"/>
                <w:szCs w:val="24"/>
              </w:rPr>
              <w:t xml:space="preserve"> </w:t>
            </w:r>
            <w:r w:rsidRPr="002A2FD1">
              <w:rPr>
                <w:rFonts w:ascii="Times New Roman" w:eastAsiaTheme="minorHAnsi" w:hAnsi="Times New Roman" w:cstheme="minorBidi"/>
                <w:sz w:val="24"/>
                <w:szCs w:val="24"/>
              </w:rPr>
              <w:t>Overeenkomstig §</w:t>
            </w:r>
            <w:r w:rsidR="00CE246F" w:rsidRPr="002A2FD1">
              <w:rPr>
                <w:rFonts w:ascii="Times New Roman" w:eastAsiaTheme="minorHAnsi" w:hAnsi="Times New Roman" w:cstheme="minorBidi"/>
                <w:sz w:val="24"/>
                <w:szCs w:val="24"/>
              </w:rPr>
              <w:t>5</w:t>
            </w:r>
            <w:r w:rsidRPr="002A2FD1">
              <w:rPr>
                <w:rFonts w:ascii="Times New Roman" w:eastAsiaTheme="minorHAnsi" w:hAnsi="Times New Roman" w:cstheme="minorBidi"/>
                <w:sz w:val="24"/>
                <w:szCs w:val="24"/>
              </w:rPr>
              <w:t xml:space="preserve"> van </w:t>
            </w:r>
            <w:r w:rsidR="00A822CD" w:rsidRPr="002A2FD1">
              <w:rPr>
                <w:rFonts w:ascii="Times New Roman" w:eastAsiaTheme="minorHAnsi" w:hAnsi="Times New Roman" w:cstheme="minorBidi"/>
                <w:sz w:val="24"/>
                <w:szCs w:val="24"/>
              </w:rPr>
              <w:t>de</w:t>
            </w:r>
            <w:r w:rsidR="00CE246F" w:rsidRPr="002A2FD1">
              <w:rPr>
                <w:rFonts w:ascii="Times New Roman" w:eastAsiaTheme="minorHAnsi" w:hAnsi="Times New Roman" w:cstheme="minorBidi"/>
                <w:sz w:val="24"/>
                <w:szCs w:val="24"/>
              </w:rPr>
              <w:t xml:space="preserve"> </w:t>
            </w:r>
            <w:r w:rsidRPr="002A2FD1">
              <w:rPr>
                <w:rFonts w:ascii="Times New Roman" w:eastAsiaTheme="minorHAnsi" w:hAnsi="Times New Roman" w:cstheme="minorBidi"/>
                <w:sz w:val="24"/>
                <w:szCs w:val="24"/>
              </w:rPr>
              <w:t>norm</w:t>
            </w:r>
            <w:r w:rsidR="00CE246F" w:rsidRPr="002A2FD1">
              <w:rPr>
                <w:rFonts w:ascii="Times New Roman" w:eastAsiaTheme="minorHAnsi" w:hAnsi="Times New Roman" w:cstheme="minorBidi"/>
                <w:sz w:val="24"/>
                <w:szCs w:val="24"/>
              </w:rPr>
              <w:t xml:space="preserve"> (herzien in 2018)</w:t>
            </w:r>
            <w:r w:rsidRPr="002A2FD1">
              <w:rPr>
                <w:rFonts w:ascii="Times New Roman" w:eastAsiaTheme="minorHAnsi" w:hAnsi="Times New Roman" w:cstheme="minorBidi"/>
                <w:sz w:val="24"/>
                <w:szCs w:val="24"/>
              </w:rPr>
              <w:t xml:space="preserve"> van </w:t>
            </w:r>
            <w:r w:rsidR="00A822CD" w:rsidRPr="002A2FD1">
              <w:rPr>
                <w:rFonts w:ascii="Times New Roman" w:eastAsiaTheme="minorHAnsi" w:hAnsi="Times New Roman" w:cstheme="minorBidi"/>
                <w:sz w:val="24"/>
                <w:szCs w:val="24"/>
              </w:rPr>
              <w:t>21 juni</w:t>
            </w:r>
            <w:r w:rsidR="00CE246F" w:rsidRPr="002A2FD1">
              <w:rPr>
                <w:rFonts w:ascii="Times New Roman" w:eastAsiaTheme="minorHAnsi" w:hAnsi="Times New Roman" w:cstheme="minorBidi"/>
                <w:sz w:val="24"/>
                <w:szCs w:val="24"/>
              </w:rPr>
              <w:t xml:space="preserve"> 2018 </w:t>
            </w:r>
            <w:r w:rsidRPr="002A2FD1">
              <w:rPr>
                <w:rFonts w:ascii="Times New Roman" w:eastAsiaTheme="minorHAnsi" w:hAnsi="Times New Roman" w:cstheme="minorBidi"/>
                <w:sz w:val="24"/>
                <w:szCs w:val="24"/>
              </w:rPr>
              <w:t xml:space="preserve">inzake de toepassing </w:t>
            </w:r>
            <w:r w:rsidR="00CE246F" w:rsidRPr="002A2FD1">
              <w:rPr>
                <w:rFonts w:ascii="Times New Roman" w:eastAsiaTheme="minorHAnsi" w:hAnsi="Times New Roman" w:cstheme="minorBidi"/>
                <w:sz w:val="24"/>
                <w:szCs w:val="24"/>
              </w:rPr>
              <w:t xml:space="preserve">in België </w:t>
            </w:r>
            <w:r w:rsidRPr="002A2FD1">
              <w:rPr>
                <w:rFonts w:ascii="Times New Roman" w:eastAsiaTheme="minorHAnsi" w:hAnsi="Times New Roman" w:cstheme="minorBidi"/>
                <w:sz w:val="24"/>
                <w:szCs w:val="24"/>
              </w:rPr>
              <w:t xml:space="preserve">van de </w:t>
            </w:r>
            <w:r w:rsidRPr="004E6DBB">
              <w:rPr>
                <w:rFonts w:ascii="Times New Roman" w:eastAsiaTheme="minorHAnsi" w:hAnsi="Times New Roman" w:cstheme="minorBidi"/>
                <w:sz w:val="24"/>
                <w:szCs w:val="24"/>
              </w:rPr>
              <w:t>nieuwe en herziene Internationale controlestandaarden (ISA’s)</w:t>
            </w:r>
            <w:r w:rsidR="00715A89">
              <w:rPr>
                <w:rFonts w:ascii="Times New Roman" w:eastAsiaTheme="minorHAnsi" w:hAnsi="Times New Roman" w:cstheme="minorBidi"/>
                <w:sz w:val="24"/>
                <w:szCs w:val="24"/>
              </w:rPr>
              <w:t xml:space="preserve"> (</w:t>
            </w:r>
            <w:r w:rsidR="002D411E">
              <w:rPr>
                <w:rFonts w:ascii="Times New Roman" w:eastAsiaTheme="minorHAnsi" w:hAnsi="Times New Roman" w:cstheme="minorBidi"/>
                <w:sz w:val="24"/>
                <w:szCs w:val="24"/>
              </w:rPr>
              <w:t>de wijziging hiervan is lopende)</w:t>
            </w:r>
            <w:r w:rsidRPr="004E6DBB">
              <w:rPr>
                <w:rFonts w:ascii="Times New Roman" w:eastAsiaTheme="minorHAnsi" w:hAnsi="Times New Roman" w:cstheme="minorBidi"/>
                <w:sz w:val="24"/>
                <w:szCs w:val="24"/>
              </w:rPr>
              <w:t>,</w:t>
            </w:r>
            <w:r w:rsidR="00691A3F">
              <w:rPr>
                <w:rFonts w:ascii="Times New Roman" w:eastAsiaTheme="minorHAnsi" w:hAnsi="Times New Roman" w:cstheme="minorBidi"/>
                <w:sz w:val="24"/>
                <w:szCs w:val="24"/>
              </w:rPr>
              <w:t xml:space="preserve"> </w:t>
            </w:r>
            <w:r w:rsidRPr="004E6DBB">
              <w:rPr>
                <w:rFonts w:ascii="Times New Roman" w:eastAsiaTheme="minorHAnsi" w:hAnsi="Times New Roman" w:cstheme="minorBidi"/>
                <w:sz w:val="24"/>
                <w:szCs w:val="24"/>
              </w:rPr>
              <w:t xml:space="preserve"> betreft het </w:t>
            </w:r>
            <w:r w:rsidR="002D411E" w:rsidRPr="00F859CD">
              <w:rPr>
                <w:rFonts w:ascii="Times New Roman" w:eastAsiaTheme="minorHAnsi" w:hAnsi="Times New Roman" w:cstheme="minorBidi"/>
                <w:sz w:val="24"/>
                <w:szCs w:val="24"/>
              </w:rPr>
              <w:t>de organisaties van openbaar belang zoals omschreven door artikel 1:12, 1° en 2°  van het Wetboek van vennootschappen en verenigingen, alsook de vennootschappen waarvan de effecten zijn toegelaten tot de verhandeling op een niet-gereglementeerde markt en de vennootschappen waarvan de effecten zijn toegelaten tot de verhandeling op een gereglementeerde markt buiten de Europese Economische Ruimte (EER)</w:t>
            </w:r>
          </w:p>
        </w:tc>
      </w:tr>
      <w:tr w:rsidR="00EB7592" w:rsidRPr="002A2FD1" w14:paraId="28B94CBA" w14:textId="77777777" w:rsidTr="000F70A6">
        <w:tc>
          <w:tcPr>
            <w:tcW w:w="4606" w:type="dxa"/>
          </w:tcPr>
          <w:p w14:paraId="28B94CB8" w14:textId="77777777" w:rsidR="00EB7592" w:rsidRPr="004E6DBB" w:rsidRDefault="00EB7592" w:rsidP="0069623F">
            <w:pPr>
              <w:pStyle w:val="BodyText"/>
              <w:spacing w:before="120"/>
              <w:jc w:val="both"/>
              <w:rPr>
                <w:rFonts w:ascii="Times New Roman" w:hAnsi="Times New Roman"/>
                <w:b/>
                <w:sz w:val="24"/>
                <w:szCs w:val="24"/>
                <w:lang w:val="fr-FR"/>
              </w:rPr>
            </w:pPr>
            <w:r w:rsidRPr="004E6DBB">
              <w:rPr>
                <w:rFonts w:ascii="Times New Roman" w:hAnsi="Times New Roman"/>
                <w:b/>
                <w:sz w:val="24"/>
                <w:szCs w:val="24"/>
                <w:lang w:val="fr-FR"/>
              </w:rPr>
              <w:t xml:space="preserve">IAASB: </w:t>
            </w:r>
          </w:p>
        </w:tc>
        <w:tc>
          <w:tcPr>
            <w:tcW w:w="4606" w:type="dxa"/>
          </w:tcPr>
          <w:p w14:paraId="28B94CB9" w14:textId="77777777" w:rsidR="00EB7592" w:rsidRPr="004E6DBB" w:rsidRDefault="00EB7592" w:rsidP="0069623F">
            <w:pPr>
              <w:pStyle w:val="BodyText"/>
              <w:spacing w:before="120"/>
              <w:jc w:val="both"/>
              <w:rPr>
                <w:rFonts w:ascii="Times New Roman" w:eastAsiaTheme="minorHAnsi" w:hAnsi="Times New Roman" w:cstheme="minorBidi"/>
                <w:b/>
                <w:sz w:val="24"/>
                <w:szCs w:val="24"/>
                <w:lang w:val="en-US"/>
              </w:rPr>
            </w:pPr>
            <w:r w:rsidRPr="004E6DBB">
              <w:rPr>
                <w:rFonts w:ascii="Times New Roman" w:hAnsi="Times New Roman"/>
                <w:sz w:val="24"/>
                <w:szCs w:val="24"/>
                <w:lang w:val="en-US"/>
              </w:rPr>
              <w:t>International Auditing and Assurance Standards Board van de International Federation of Accountants (IFAC)</w:t>
            </w:r>
          </w:p>
        </w:tc>
      </w:tr>
      <w:tr w:rsidR="007A303D" w:rsidRPr="004E6DBB" w14:paraId="28B94CBD" w14:textId="77777777" w:rsidTr="000F70A6">
        <w:tc>
          <w:tcPr>
            <w:tcW w:w="4606" w:type="dxa"/>
          </w:tcPr>
          <w:p w14:paraId="28B94CBB" w14:textId="77777777" w:rsidR="007A303D" w:rsidRPr="004E6DBB" w:rsidRDefault="007A303D" w:rsidP="0069623F">
            <w:pPr>
              <w:pStyle w:val="BodyText"/>
              <w:spacing w:before="120"/>
              <w:jc w:val="both"/>
              <w:rPr>
                <w:rFonts w:ascii="Times New Roman" w:hAnsi="Times New Roman"/>
                <w:sz w:val="24"/>
                <w:szCs w:val="24"/>
                <w:lang w:val="fr-FR"/>
              </w:rPr>
            </w:pPr>
            <w:r w:rsidRPr="004E6DBB">
              <w:rPr>
                <w:rFonts w:ascii="Times New Roman" w:hAnsi="Times New Roman"/>
                <w:b/>
                <w:iCs/>
                <w:sz w:val="24"/>
                <w:szCs w:val="24"/>
                <w:lang w:val="fr-FR"/>
              </w:rPr>
              <w:t>Kantoor</w:t>
            </w:r>
            <w:r w:rsidRPr="004E6DBB">
              <w:rPr>
                <w:rFonts w:ascii="Times New Roman" w:hAnsi="Times New Roman"/>
                <w:b/>
                <w:sz w:val="24"/>
                <w:szCs w:val="24"/>
                <w:lang w:val="fr-FR"/>
              </w:rPr>
              <w:t>:</w:t>
            </w:r>
          </w:p>
        </w:tc>
        <w:tc>
          <w:tcPr>
            <w:tcW w:w="4606" w:type="dxa"/>
          </w:tcPr>
          <w:p w14:paraId="28B94CBC" w14:textId="77777777" w:rsidR="007A303D" w:rsidRPr="004E6DBB" w:rsidRDefault="007A303D" w:rsidP="0069623F">
            <w:pPr>
              <w:pStyle w:val="BodyText"/>
              <w:spacing w:before="120"/>
              <w:jc w:val="both"/>
              <w:rPr>
                <w:rFonts w:ascii="Times New Roman" w:hAnsi="Times New Roman"/>
                <w:sz w:val="24"/>
                <w:szCs w:val="24"/>
              </w:rPr>
            </w:pPr>
            <w:r w:rsidRPr="004E6DBB">
              <w:rPr>
                <w:rFonts w:ascii="Times New Roman" w:hAnsi="Times New Roman"/>
                <w:sz w:val="24"/>
                <w:szCs w:val="24"/>
              </w:rPr>
              <w:t xml:space="preserve">Een bedrijfsrevisor natuurlijke persoon of </w:t>
            </w:r>
            <w:r w:rsidRPr="004E6DBB">
              <w:rPr>
                <w:rFonts w:ascii="Times New Roman" w:hAnsi="Times New Roman"/>
                <w:sz w:val="24"/>
                <w:szCs w:val="24"/>
              </w:rPr>
              <w:lastRenderedPageBreak/>
              <w:t>een bedrijfsrevisorenkantoor, zoals gedefinieerd door artikel 3, 1°, 2° en 3° van de wet van 7 december 2016</w:t>
            </w:r>
          </w:p>
        </w:tc>
      </w:tr>
      <w:tr w:rsidR="007A303D" w:rsidRPr="004E6DBB" w14:paraId="28B94CC1" w14:textId="77777777" w:rsidTr="000F70A6">
        <w:tc>
          <w:tcPr>
            <w:tcW w:w="4606" w:type="dxa"/>
          </w:tcPr>
          <w:p w14:paraId="28B94CBE" w14:textId="77777777" w:rsidR="007A303D" w:rsidRPr="004E6DBB" w:rsidRDefault="007A303D" w:rsidP="0069623F">
            <w:pPr>
              <w:spacing w:before="120" w:after="120"/>
              <w:ind w:left="2880" w:hanging="2880"/>
              <w:jc w:val="both"/>
              <w:rPr>
                <w:rFonts w:ascii="Times New Roman" w:hAnsi="Times New Roman"/>
                <w:b/>
                <w:sz w:val="24"/>
                <w:szCs w:val="24"/>
                <w:lang w:val="fr-FR"/>
              </w:rPr>
            </w:pPr>
            <w:r w:rsidRPr="004E6DBB">
              <w:rPr>
                <w:rFonts w:ascii="Times New Roman" w:hAnsi="Times New Roman"/>
                <w:b/>
                <w:sz w:val="24"/>
                <w:szCs w:val="24"/>
                <w:lang w:val="fr-FR"/>
              </w:rPr>
              <w:lastRenderedPageBreak/>
              <w:t>Management:</w:t>
            </w:r>
          </w:p>
          <w:p w14:paraId="28B94CBF" w14:textId="77777777" w:rsidR="007A303D" w:rsidRPr="004E6DBB" w:rsidRDefault="007A303D" w:rsidP="0069623F">
            <w:pPr>
              <w:pStyle w:val="BodyText"/>
              <w:spacing w:before="120"/>
              <w:jc w:val="both"/>
              <w:rPr>
                <w:rFonts w:ascii="Times New Roman" w:hAnsi="Times New Roman"/>
                <w:sz w:val="24"/>
                <w:szCs w:val="24"/>
                <w:lang w:val="fr-FR"/>
              </w:rPr>
            </w:pPr>
          </w:p>
        </w:tc>
        <w:tc>
          <w:tcPr>
            <w:tcW w:w="4606" w:type="dxa"/>
          </w:tcPr>
          <w:p w14:paraId="28B94CC0" w14:textId="77777777" w:rsidR="007A303D" w:rsidRPr="004E6DBB" w:rsidRDefault="007A303D" w:rsidP="0069623F">
            <w:pPr>
              <w:pStyle w:val="BodyText"/>
              <w:spacing w:before="120"/>
              <w:jc w:val="both"/>
              <w:rPr>
                <w:rFonts w:ascii="Times New Roman" w:hAnsi="Times New Roman"/>
                <w:sz w:val="24"/>
                <w:szCs w:val="24"/>
                <w:lang w:val="fr-FR"/>
              </w:rPr>
            </w:pPr>
            <w:r w:rsidRPr="004E6DBB">
              <w:rPr>
                <w:rFonts w:ascii="Times New Roman" w:hAnsi="Times New Roman"/>
                <w:sz w:val="24"/>
                <w:szCs w:val="24"/>
              </w:rPr>
              <w:t xml:space="preserve">Naargelang van het geval, de personen met uitvoerende verantwoordelijkheid voor het uitvoeren van de activiteiten van de entiteit dan wel het bestuursorgaan van de entiteit. </w:t>
            </w:r>
            <w:r w:rsidRPr="004E6DBB">
              <w:rPr>
                <w:rFonts w:ascii="Times New Roman" w:hAnsi="Times New Roman"/>
                <w:sz w:val="24"/>
                <w:szCs w:val="24"/>
                <w:lang w:val="fr-FR"/>
              </w:rPr>
              <w:t xml:space="preserve">(Verklarende woordenlijst of </w:t>
            </w:r>
            <w:r w:rsidRPr="004E6DBB">
              <w:rPr>
                <w:rFonts w:ascii="Times New Roman" w:hAnsi="Times New Roman"/>
                <w:i/>
                <w:sz w:val="24"/>
                <w:szCs w:val="24"/>
                <w:lang w:val="fr-FR"/>
              </w:rPr>
              <w:t>List of Key Terms</w:t>
            </w:r>
            <w:r w:rsidRPr="004E6DBB">
              <w:rPr>
                <w:rFonts w:ascii="Times New Roman" w:hAnsi="Times New Roman"/>
                <w:sz w:val="24"/>
                <w:szCs w:val="24"/>
                <w:lang w:val="fr-FR"/>
              </w:rPr>
              <w:t>)</w:t>
            </w:r>
          </w:p>
        </w:tc>
      </w:tr>
      <w:tr w:rsidR="00EB7592" w:rsidRPr="004E6DBB" w14:paraId="28B94CC8" w14:textId="77777777" w:rsidTr="000F70A6">
        <w:tc>
          <w:tcPr>
            <w:tcW w:w="4606" w:type="dxa"/>
          </w:tcPr>
          <w:p w14:paraId="28B94CC2" w14:textId="77777777" w:rsidR="00EB7592" w:rsidRPr="004E6DBB" w:rsidRDefault="00EB7592" w:rsidP="0069623F">
            <w:pPr>
              <w:pStyle w:val="BodyText"/>
              <w:spacing w:before="120"/>
              <w:jc w:val="both"/>
              <w:rPr>
                <w:rFonts w:ascii="Times New Roman" w:hAnsi="Times New Roman"/>
                <w:sz w:val="24"/>
                <w:szCs w:val="24"/>
                <w:lang w:val="fr-FR"/>
              </w:rPr>
            </w:pPr>
            <w:r w:rsidRPr="004E6DBB">
              <w:rPr>
                <w:rFonts w:ascii="Times New Roman" w:hAnsi="Times New Roman"/>
                <w:b/>
                <w:sz w:val="24"/>
                <w:szCs w:val="24"/>
                <w:lang w:val="fr-FR"/>
              </w:rPr>
              <w:t>Onafhankelijke auditor:</w:t>
            </w:r>
          </w:p>
        </w:tc>
        <w:tc>
          <w:tcPr>
            <w:tcW w:w="4606" w:type="dxa"/>
          </w:tcPr>
          <w:p w14:paraId="28B94CC3" w14:textId="77777777" w:rsidR="00EB7592" w:rsidRPr="004E6DBB" w:rsidRDefault="00EB7592" w:rsidP="0069623F">
            <w:pPr>
              <w:pStyle w:val="BodyText"/>
              <w:spacing w:before="120"/>
              <w:jc w:val="both"/>
              <w:rPr>
                <w:rFonts w:ascii="Times New Roman" w:hAnsi="Times New Roman"/>
                <w:b/>
                <w:sz w:val="24"/>
                <w:szCs w:val="24"/>
              </w:rPr>
            </w:pPr>
            <w:r w:rsidRPr="004E6DBB">
              <w:rPr>
                <w:rFonts w:ascii="Times New Roman" w:hAnsi="Times New Roman"/>
                <w:b/>
                <w:sz w:val="24"/>
                <w:szCs w:val="24"/>
              </w:rPr>
              <w:t>Commissaris</w:t>
            </w:r>
          </w:p>
          <w:p w14:paraId="28B94CC4" w14:textId="236C4EE1" w:rsidR="00EB7592" w:rsidRPr="004E6DBB" w:rsidRDefault="00EB7592" w:rsidP="0069623F">
            <w:pPr>
              <w:pStyle w:val="BodyText"/>
              <w:spacing w:before="120"/>
              <w:jc w:val="both"/>
              <w:rPr>
                <w:rFonts w:ascii="Times New Roman" w:hAnsi="Times New Roman"/>
                <w:sz w:val="24"/>
                <w:szCs w:val="24"/>
              </w:rPr>
            </w:pPr>
            <w:r w:rsidRPr="004E6DBB">
              <w:rPr>
                <w:rFonts w:ascii="Times New Roman" w:hAnsi="Times New Roman"/>
                <w:sz w:val="24"/>
                <w:szCs w:val="24"/>
              </w:rPr>
              <w:t xml:space="preserve">De bedrijfsrevisor in de zin van artikel 3, 3° van de wet van 7 december 2016, die de wettelijke controle van de jaarrekening uitvoert zoals gedefinieerd in artikel 3, 9°, van voormelde wet, zijnde de wettelijke controle als bedoeld in artikel </w:t>
            </w:r>
            <w:r w:rsidR="00BF783C">
              <w:rPr>
                <w:rFonts w:ascii="Times New Roman" w:hAnsi="Times New Roman"/>
                <w:sz w:val="24"/>
                <w:szCs w:val="24"/>
              </w:rPr>
              <w:t>3:55</w:t>
            </w:r>
            <w:r w:rsidRPr="004E6DBB">
              <w:rPr>
                <w:rFonts w:ascii="Times New Roman" w:hAnsi="Times New Roman"/>
                <w:sz w:val="24"/>
                <w:szCs w:val="24"/>
              </w:rPr>
              <w:t xml:space="preserve"> van het Wetboek van Vennootschappen</w:t>
            </w:r>
            <w:r w:rsidR="00BF783C">
              <w:rPr>
                <w:rFonts w:ascii="Times New Roman" w:hAnsi="Times New Roman"/>
                <w:sz w:val="24"/>
                <w:szCs w:val="24"/>
              </w:rPr>
              <w:t xml:space="preserve"> en verenigingen</w:t>
            </w:r>
            <w:r w:rsidRPr="004E6DBB">
              <w:rPr>
                <w:rFonts w:ascii="Times New Roman" w:hAnsi="Times New Roman"/>
                <w:sz w:val="24"/>
                <w:szCs w:val="24"/>
              </w:rPr>
              <w:t>: een controle van de statutaire jaarrekening of van de geconsolideerde jaarrekening, voor zover deze controle:</w:t>
            </w:r>
          </w:p>
          <w:p w14:paraId="28B94CC5" w14:textId="77777777" w:rsidR="00EB7592" w:rsidRPr="004E6DBB" w:rsidRDefault="00EB7592" w:rsidP="0069623F">
            <w:pPr>
              <w:pStyle w:val="BodyText"/>
              <w:spacing w:before="120"/>
              <w:jc w:val="both"/>
              <w:rPr>
                <w:rFonts w:ascii="Times New Roman" w:hAnsi="Times New Roman"/>
                <w:sz w:val="24"/>
                <w:szCs w:val="24"/>
              </w:rPr>
            </w:pPr>
            <w:r w:rsidRPr="004E6DBB">
              <w:rPr>
                <w:rFonts w:ascii="Times New Roman" w:hAnsi="Times New Roman"/>
                <w:sz w:val="24"/>
                <w:szCs w:val="24"/>
              </w:rPr>
              <w:t>1° door het recht van de Europese Unie wordt voorgeschreven;</w:t>
            </w:r>
          </w:p>
          <w:p w14:paraId="28B94CC6" w14:textId="77777777" w:rsidR="00EB7592" w:rsidRPr="004E6DBB" w:rsidRDefault="00EB7592" w:rsidP="0069623F">
            <w:pPr>
              <w:pStyle w:val="BodyText"/>
              <w:spacing w:before="120"/>
              <w:jc w:val="both"/>
              <w:rPr>
                <w:rFonts w:ascii="Times New Roman" w:hAnsi="Times New Roman"/>
                <w:sz w:val="24"/>
                <w:szCs w:val="24"/>
              </w:rPr>
            </w:pPr>
            <w:r w:rsidRPr="004E6DBB">
              <w:rPr>
                <w:rFonts w:ascii="Times New Roman" w:hAnsi="Times New Roman"/>
                <w:sz w:val="24"/>
                <w:szCs w:val="24"/>
              </w:rPr>
              <w:t>2° door het Belgisch recht wordt voorgeschreven met betrekking tot kleine vennootschappen;</w:t>
            </w:r>
          </w:p>
          <w:p w14:paraId="28B94CC7" w14:textId="591F4DDF" w:rsidR="00EB7592" w:rsidRPr="004E6DBB" w:rsidRDefault="00EB7592" w:rsidP="0069623F">
            <w:pPr>
              <w:pStyle w:val="BodyText"/>
              <w:spacing w:before="120"/>
              <w:jc w:val="both"/>
              <w:rPr>
                <w:rFonts w:ascii="Times New Roman" w:hAnsi="Times New Roman"/>
                <w:sz w:val="24"/>
                <w:szCs w:val="24"/>
              </w:rPr>
            </w:pPr>
            <w:r w:rsidRPr="004E6DBB">
              <w:rPr>
                <w:rFonts w:ascii="Times New Roman" w:hAnsi="Times New Roman"/>
                <w:sz w:val="24"/>
                <w:szCs w:val="24"/>
              </w:rPr>
              <w:t xml:space="preserve">3° op vrijwillige basis op verzoek van kleine vennootschappen wordt uitgevoerd, wanneer deze opdracht gepaard gaat met de bekendmaking van het verslag bedoeld in artikel </w:t>
            </w:r>
            <w:r w:rsidR="00BF783C">
              <w:rPr>
                <w:rFonts w:ascii="Times New Roman" w:hAnsi="Times New Roman"/>
                <w:sz w:val="24"/>
                <w:szCs w:val="24"/>
              </w:rPr>
              <w:t>3:7</w:t>
            </w:r>
            <w:r w:rsidR="001F1442">
              <w:rPr>
                <w:rFonts w:ascii="Times New Roman" w:hAnsi="Times New Roman"/>
                <w:sz w:val="24"/>
                <w:szCs w:val="24"/>
              </w:rPr>
              <w:t>5</w:t>
            </w:r>
            <w:r w:rsidR="00BF783C" w:rsidRPr="004E6DBB">
              <w:rPr>
                <w:rFonts w:ascii="Times New Roman" w:hAnsi="Times New Roman"/>
                <w:sz w:val="24"/>
                <w:szCs w:val="24"/>
              </w:rPr>
              <w:t xml:space="preserve"> </w:t>
            </w:r>
            <w:r w:rsidRPr="004E6DBB">
              <w:rPr>
                <w:rFonts w:ascii="Times New Roman" w:hAnsi="Times New Roman"/>
                <w:sz w:val="24"/>
                <w:szCs w:val="24"/>
              </w:rPr>
              <w:t xml:space="preserve">of </w:t>
            </w:r>
            <w:r w:rsidR="00BF783C">
              <w:rPr>
                <w:rFonts w:ascii="Times New Roman" w:hAnsi="Times New Roman"/>
                <w:sz w:val="24"/>
                <w:szCs w:val="24"/>
              </w:rPr>
              <w:t>3:80</w:t>
            </w:r>
            <w:r w:rsidR="00BF783C" w:rsidRPr="004E6DBB">
              <w:rPr>
                <w:rFonts w:ascii="Times New Roman" w:hAnsi="Times New Roman"/>
                <w:sz w:val="24"/>
                <w:szCs w:val="24"/>
              </w:rPr>
              <w:t xml:space="preserve"> </w:t>
            </w:r>
            <w:r w:rsidRPr="004E6DBB">
              <w:rPr>
                <w:rFonts w:ascii="Times New Roman" w:hAnsi="Times New Roman"/>
                <w:sz w:val="24"/>
                <w:szCs w:val="24"/>
              </w:rPr>
              <w:t>van het Wetboek van vennootschappen</w:t>
            </w:r>
            <w:r w:rsidR="00BF783C">
              <w:rPr>
                <w:rFonts w:ascii="Times New Roman" w:hAnsi="Times New Roman"/>
                <w:sz w:val="24"/>
                <w:szCs w:val="24"/>
              </w:rPr>
              <w:t xml:space="preserve"> en verenigingen</w:t>
            </w:r>
          </w:p>
        </w:tc>
      </w:tr>
      <w:tr w:rsidR="00EB7592" w:rsidRPr="004E6DBB" w14:paraId="28B94CCC" w14:textId="77777777" w:rsidTr="000F70A6">
        <w:tc>
          <w:tcPr>
            <w:tcW w:w="4606" w:type="dxa"/>
          </w:tcPr>
          <w:p w14:paraId="28B94CC9" w14:textId="77777777" w:rsidR="00EB7592" w:rsidRPr="004E6DBB" w:rsidRDefault="00EB7592" w:rsidP="0069623F">
            <w:pPr>
              <w:pStyle w:val="BodyText"/>
              <w:spacing w:before="120"/>
              <w:jc w:val="both"/>
              <w:rPr>
                <w:rFonts w:ascii="Times New Roman" w:hAnsi="Times New Roman"/>
                <w:b/>
                <w:sz w:val="24"/>
                <w:szCs w:val="24"/>
                <w:lang w:val="fr-FR"/>
              </w:rPr>
            </w:pPr>
            <w:r w:rsidRPr="004E6DBB">
              <w:rPr>
                <w:rFonts w:ascii="Times New Roman" w:hAnsi="Times New Roman"/>
                <w:b/>
                <w:sz w:val="24"/>
                <w:szCs w:val="24"/>
                <w:lang w:val="fr-FR"/>
              </w:rPr>
              <w:t>OOB:</w:t>
            </w:r>
          </w:p>
        </w:tc>
        <w:tc>
          <w:tcPr>
            <w:tcW w:w="4606" w:type="dxa"/>
          </w:tcPr>
          <w:p w14:paraId="28B94CCA" w14:textId="77777777" w:rsidR="00EB7592" w:rsidRPr="004E6DBB" w:rsidRDefault="00EB7592" w:rsidP="0069623F">
            <w:pPr>
              <w:pStyle w:val="BodyText"/>
              <w:spacing w:before="120"/>
              <w:jc w:val="both"/>
              <w:rPr>
                <w:rFonts w:ascii="Times New Roman" w:eastAsiaTheme="minorHAnsi" w:hAnsi="Times New Roman" w:cstheme="minorBidi"/>
                <w:b/>
                <w:sz w:val="24"/>
                <w:szCs w:val="24"/>
              </w:rPr>
            </w:pPr>
            <w:r w:rsidRPr="004E6DBB">
              <w:rPr>
                <w:rFonts w:ascii="Times New Roman" w:eastAsiaTheme="minorHAnsi" w:hAnsi="Times New Roman" w:cstheme="minorBidi"/>
                <w:b/>
                <w:sz w:val="24"/>
                <w:szCs w:val="24"/>
              </w:rPr>
              <w:t>Organisatie van openbaar belang</w:t>
            </w:r>
          </w:p>
          <w:p w14:paraId="28B94CCB" w14:textId="20FB4E0A" w:rsidR="00EB7592" w:rsidRPr="004E6DBB" w:rsidRDefault="00EB7592" w:rsidP="0069623F">
            <w:pPr>
              <w:pStyle w:val="BodyText"/>
              <w:spacing w:before="120"/>
              <w:jc w:val="both"/>
              <w:rPr>
                <w:rFonts w:ascii="Times New Roman" w:hAnsi="Times New Roman"/>
                <w:sz w:val="24"/>
                <w:szCs w:val="24"/>
              </w:rPr>
            </w:pPr>
            <w:r w:rsidRPr="004E6DBB">
              <w:rPr>
                <w:rFonts w:ascii="Times New Roman" w:eastAsiaTheme="minorHAnsi" w:hAnsi="Times New Roman" w:cstheme="minorBidi"/>
                <w:sz w:val="24"/>
                <w:szCs w:val="24"/>
              </w:rPr>
              <w:t xml:space="preserve">Een organisatie van openbaar belang zoals gedefinieerd door artikel </w:t>
            </w:r>
            <w:r w:rsidR="00BF783C">
              <w:rPr>
                <w:rFonts w:ascii="Times New Roman" w:eastAsiaTheme="minorHAnsi" w:hAnsi="Times New Roman" w:cstheme="minorBidi"/>
                <w:sz w:val="24"/>
                <w:szCs w:val="24"/>
              </w:rPr>
              <w:t>1:12</w:t>
            </w:r>
            <w:r w:rsidRPr="004E6DBB">
              <w:rPr>
                <w:rFonts w:ascii="Times New Roman" w:eastAsiaTheme="minorHAnsi" w:hAnsi="Times New Roman" w:cstheme="minorBidi"/>
                <w:sz w:val="24"/>
                <w:szCs w:val="24"/>
              </w:rPr>
              <w:t xml:space="preserve"> van het Wetboek van vennootschappen</w:t>
            </w:r>
            <w:r w:rsidR="00BF783C">
              <w:rPr>
                <w:rFonts w:ascii="Times New Roman" w:eastAsiaTheme="minorHAnsi" w:hAnsi="Times New Roman" w:cstheme="minorBidi"/>
                <w:sz w:val="24"/>
                <w:szCs w:val="24"/>
              </w:rPr>
              <w:t xml:space="preserve"> en verenigingen</w:t>
            </w:r>
          </w:p>
        </w:tc>
      </w:tr>
    </w:tbl>
    <w:p w14:paraId="23674018" w14:textId="77777777" w:rsidR="000F70A6" w:rsidRDefault="000F70A6">
      <w:r>
        <w:br w:type="page"/>
      </w:r>
    </w:p>
    <w:tbl>
      <w:tblPr>
        <w:tblStyle w:val="TableGrid"/>
        <w:tblW w:w="0" w:type="auto"/>
        <w:tblLook w:val="04A0" w:firstRow="1" w:lastRow="0" w:firstColumn="1" w:lastColumn="0" w:noHBand="0" w:noVBand="1"/>
      </w:tblPr>
      <w:tblGrid>
        <w:gridCol w:w="4606"/>
        <w:gridCol w:w="4606"/>
      </w:tblGrid>
      <w:tr w:rsidR="007A303D" w:rsidRPr="004E6DBB" w14:paraId="28B94CD2" w14:textId="77777777" w:rsidTr="000F70A6">
        <w:tc>
          <w:tcPr>
            <w:tcW w:w="4606" w:type="dxa"/>
          </w:tcPr>
          <w:p w14:paraId="28B94CCD" w14:textId="62F67159" w:rsidR="007A303D" w:rsidRPr="004E6DBB" w:rsidRDefault="007A303D" w:rsidP="0069623F">
            <w:pPr>
              <w:pStyle w:val="BodyText"/>
              <w:spacing w:before="120"/>
              <w:jc w:val="both"/>
              <w:rPr>
                <w:rFonts w:ascii="Times New Roman" w:hAnsi="Times New Roman"/>
                <w:b/>
                <w:sz w:val="24"/>
                <w:szCs w:val="24"/>
              </w:rPr>
            </w:pPr>
            <w:r w:rsidRPr="004E6DBB">
              <w:rPr>
                <w:rFonts w:ascii="Times New Roman" w:hAnsi="Times New Roman"/>
                <w:b/>
                <w:sz w:val="24"/>
                <w:szCs w:val="24"/>
              </w:rPr>
              <w:lastRenderedPageBreak/>
              <w:t>Oordeel:</w:t>
            </w:r>
          </w:p>
          <w:p w14:paraId="28B94CCE" w14:textId="77777777" w:rsidR="007A303D" w:rsidRPr="004E6DBB" w:rsidRDefault="007A303D" w:rsidP="0069623F">
            <w:pPr>
              <w:pStyle w:val="BodyText"/>
              <w:spacing w:before="120"/>
              <w:jc w:val="both"/>
              <w:rPr>
                <w:rFonts w:ascii="Times New Roman" w:hAnsi="Times New Roman"/>
                <w:b/>
                <w:sz w:val="24"/>
                <w:szCs w:val="24"/>
              </w:rPr>
            </w:pPr>
            <w:r w:rsidRPr="004E6DBB">
              <w:rPr>
                <w:rFonts w:ascii="Times New Roman" w:hAnsi="Times New Roman"/>
                <w:b/>
                <w:sz w:val="24"/>
                <w:szCs w:val="24"/>
              </w:rPr>
              <w:t>Niet-aangepast oordeel:</w:t>
            </w:r>
          </w:p>
          <w:p w14:paraId="28B94CCF" w14:textId="77777777" w:rsidR="007A303D" w:rsidRPr="004E6DBB" w:rsidRDefault="007A303D" w:rsidP="0069623F">
            <w:pPr>
              <w:pStyle w:val="BodyText"/>
              <w:spacing w:before="120"/>
              <w:jc w:val="both"/>
              <w:rPr>
                <w:rFonts w:ascii="Times New Roman" w:hAnsi="Times New Roman"/>
                <w:b/>
                <w:sz w:val="24"/>
                <w:szCs w:val="24"/>
              </w:rPr>
            </w:pPr>
            <w:r w:rsidRPr="004E6DBB">
              <w:rPr>
                <w:rFonts w:ascii="Times New Roman" w:hAnsi="Times New Roman"/>
                <w:b/>
                <w:sz w:val="24"/>
                <w:szCs w:val="24"/>
              </w:rPr>
              <w:t>Aangepast oordeel:</w:t>
            </w:r>
          </w:p>
        </w:tc>
        <w:tc>
          <w:tcPr>
            <w:tcW w:w="4606" w:type="dxa"/>
          </w:tcPr>
          <w:p w14:paraId="28B94CD0" w14:textId="77777777" w:rsidR="007A303D" w:rsidRPr="004E6DBB" w:rsidRDefault="007A303D" w:rsidP="0069623F">
            <w:pPr>
              <w:pStyle w:val="BodyText"/>
              <w:spacing w:before="120"/>
              <w:jc w:val="both"/>
              <w:rPr>
                <w:rFonts w:ascii="Times New Roman" w:hAnsi="Times New Roman"/>
                <w:sz w:val="24"/>
                <w:szCs w:val="24"/>
              </w:rPr>
            </w:pPr>
            <w:r w:rsidRPr="004E6DBB">
              <w:rPr>
                <w:rFonts w:ascii="Times New Roman" w:hAnsi="Times New Roman"/>
                <w:sz w:val="24"/>
                <w:szCs w:val="24"/>
              </w:rPr>
              <w:t>De verklaring met de opinie van de commissaris, in voorkomend geval van de bedrijfsrevisor, omtrent de vraag of de (geconsolideerde) jaarrekening een getrouw beeld geeft van het vermogen, van de financiële toestand en van de resultaten van de gecontroleerde entiteit</w:t>
            </w:r>
          </w:p>
          <w:p w14:paraId="28B94CD1" w14:textId="534A3B60" w:rsidR="007A303D" w:rsidRPr="004E6DBB" w:rsidRDefault="007A303D" w:rsidP="0069623F">
            <w:pPr>
              <w:pStyle w:val="BodyText"/>
              <w:spacing w:before="120"/>
              <w:jc w:val="both"/>
              <w:rPr>
                <w:rFonts w:ascii="Times New Roman" w:hAnsi="Times New Roman"/>
                <w:sz w:val="24"/>
                <w:szCs w:val="24"/>
              </w:rPr>
            </w:pPr>
            <w:r w:rsidRPr="004E6DBB">
              <w:rPr>
                <w:rFonts w:ascii="Times New Roman" w:hAnsi="Times New Roman"/>
                <w:sz w:val="24"/>
                <w:szCs w:val="24"/>
              </w:rPr>
              <w:t xml:space="preserve">Overeenkomstig de artikelen </w:t>
            </w:r>
            <w:r w:rsidR="00BF783C">
              <w:rPr>
                <w:rFonts w:ascii="Times New Roman" w:hAnsi="Times New Roman"/>
                <w:sz w:val="24"/>
                <w:szCs w:val="24"/>
              </w:rPr>
              <w:t>3:75</w:t>
            </w:r>
            <w:r w:rsidR="00BF783C" w:rsidRPr="004E6DBB">
              <w:rPr>
                <w:rFonts w:ascii="Times New Roman" w:hAnsi="Times New Roman"/>
                <w:sz w:val="24"/>
                <w:szCs w:val="24"/>
              </w:rPr>
              <w:t xml:space="preserve"> </w:t>
            </w:r>
            <w:r w:rsidRPr="004E6DBB">
              <w:rPr>
                <w:rFonts w:ascii="Times New Roman" w:hAnsi="Times New Roman"/>
                <w:sz w:val="24"/>
                <w:szCs w:val="24"/>
              </w:rPr>
              <w:t xml:space="preserve">en </w:t>
            </w:r>
            <w:r w:rsidR="00BF783C">
              <w:rPr>
                <w:rFonts w:ascii="Times New Roman" w:hAnsi="Times New Roman"/>
                <w:sz w:val="24"/>
                <w:szCs w:val="24"/>
              </w:rPr>
              <w:t>3:80</w:t>
            </w:r>
            <w:r w:rsidR="00BF783C" w:rsidRPr="004E6DBB">
              <w:rPr>
                <w:rFonts w:ascii="Times New Roman" w:hAnsi="Times New Roman"/>
                <w:sz w:val="24"/>
                <w:szCs w:val="24"/>
              </w:rPr>
              <w:t xml:space="preserve"> </w:t>
            </w:r>
            <w:r w:rsidRPr="004E6DBB">
              <w:rPr>
                <w:rFonts w:ascii="Times New Roman" w:hAnsi="Times New Roman"/>
                <w:sz w:val="24"/>
                <w:szCs w:val="24"/>
              </w:rPr>
              <w:t>van het Wetboek van vennootschappen</w:t>
            </w:r>
            <w:r w:rsidR="00BF783C">
              <w:rPr>
                <w:rFonts w:ascii="Times New Roman" w:hAnsi="Times New Roman"/>
                <w:sz w:val="24"/>
                <w:szCs w:val="24"/>
              </w:rPr>
              <w:t xml:space="preserve"> en verenigingen</w:t>
            </w:r>
            <w:r w:rsidRPr="004E6DBB">
              <w:rPr>
                <w:rFonts w:ascii="Times New Roman" w:hAnsi="Times New Roman"/>
                <w:sz w:val="24"/>
                <w:szCs w:val="24"/>
              </w:rPr>
              <w:t xml:space="preserve">, beoogt de notie “niet-aangepast of aangepast oordeel” respectievelijk een oordeel zonder voorbehoud of een oordeel met voorbehoud, een afkeurend oordeel en een onthoudende </w:t>
            </w:r>
            <w:r w:rsidRPr="002A2FD1">
              <w:rPr>
                <w:rFonts w:ascii="Times New Roman" w:hAnsi="Times New Roman"/>
                <w:sz w:val="24"/>
                <w:szCs w:val="24"/>
              </w:rPr>
              <w:t xml:space="preserve">verklaring (in de praktijk en op grond van de bijkomende norm </w:t>
            </w:r>
            <w:r w:rsidR="00CD7DB2" w:rsidRPr="002A2FD1">
              <w:rPr>
                <w:rFonts w:ascii="Times New Roman" w:hAnsi="Times New Roman"/>
                <w:sz w:val="24"/>
                <w:szCs w:val="24"/>
              </w:rPr>
              <w:t>(h</w:t>
            </w:r>
            <w:r w:rsidRPr="002A2FD1">
              <w:rPr>
                <w:rFonts w:ascii="Times New Roman" w:hAnsi="Times New Roman"/>
                <w:sz w:val="24"/>
                <w:szCs w:val="24"/>
              </w:rPr>
              <w:t>erzien</w:t>
            </w:r>
            <w:r w:rsidR="001F1442">
              <w:rPr>
                <w:rFonts w:ascii="Times New Roman" w:hAnsi="Times New Roman"/>
                <w:sz w:val="24"/>
                <w:szCs w:val="24"/>
              </w:rPr>
              <w:t>e versie</w:t>
            </w:r>
            <w:r w:rsidRPr="002A2FD1">
              <w:rPr>
                <w:rFonts w:ascii="Times New Roman" w:hAnsi="Times New Roman"/>
                <w:sz w:val="24"/>
                <w:szCs w:val="24"/>
              </w:rPr>
              <w:t xml:space="preserve"> </w:t>
            </w:r>
            <w:r w:rsidR="001F1442">
              <w:rPr>
                <w:rFonts w:ascii="Times New Roman" w:hAnsi="Times New Roman"/>
                <w:sz w:val="24"/>
                <w:szCs w:val="24"/>
              </w:rPr>
              <w:t>2020</w:t>
            </w:r>
            <w:r w:rsidRPr="002A2FD1">
              <w:rPr>
                <w:rFonts w:ascii="Times New Roman" w:hAnsi="Times New Roman"/>
                <w:sz w:val="24"/>
                <w:szCs w:val="24"/>
              </w:rPr>
              <w:t xml:space="preserve">): oordeelonthouding)  </w:t>
            </w:r>
          </w:p>
        </w:tc>
      </w:tr>
      <w:tr w:rsidR="007A303D" w:rsidRPr="004E6DBB" w14:paraId="28B94CD6" w14:textId="77777777" w:rsidTr="000F70A6">
        <w:tc>
          <w:tcPr>
            <w:tcW w:w="4606" w:type="dxa"/>
          </w:tcPr>
          <w:p w14:paraId="28B94CD3" w14:textId="77777777" w:rsidR="007A303D" w:rsidRPr="004E6DBB" w:rsidRDefault="007A303D" w:rsidP="0069623F">
            <w:pPr>
              <w:pStyle w:val="BodyText"/>
              <w:spacing w:before="120" w:line="276" w:lineRule="auto"/>
              <w:jc w:val="both"/>
              <w:rPr>
                <w:rFonts w:ascii="Times New Roman" w:hAnsi="Times New Roman"/>
                <w:b/>
                <w:sz w:val="24"/>
                <w:szCs w:val="24"/>
              </w:rPr>
            </w:pPr>
            <w:r w:rsidRPr="004E6DBB">
              <w:rPr>
                <w:rFonts w:ascii="Times New Roman" w:hAnsi="Times New Roman"/>
                <w:b/>
                <w:sz w:val="24"/>
                <w:szCs w:val="24"/>
              </w:rPr>
              <w:t>Oordeel met beperking:</w:t>
            </w:r>
          </w:p>
        </w:tc>
        <w:tc>
          <w:tcPr>
            <w:tcW w:w="4606" w:type="dxa"/>
          </w:tcPr>
          <w:p w14:paraId="28B94CD5" w14:textId="029D5829" w:rsidR="007A303D" w:rsidRPr="004E6DBB" w:rsidRDefault="007A303D" w:rsidP="0069623F">
            <w:pPr>
              <w:pStyle w:val="BodyText"/>
              <w:spacing w:before="120"/>
              <w:jc w:val="both"/>
              <w:rPr>
                <w:rFonts w:ascii="Times New Roman" w:hAnsi="Times New Roman"/>
                <w:sz w:val="24"/>
                <w:szCs w:val="24"/>
              </w:rPr>
            </w:pPr>
            <w:r w:rsidRPr="004E6DBB">
              <w:rPr>
                <w:rFonts w:ascii="Times New Roman" w:hAnsi="Times New Roman"/>
                <w:sz w:val="24"/>
                <w:szCs w:val="24"/>
              </w:rPr>
              <w:t>Oordeel met voorbehoud</w:t>
            </w:r>
          </w:p>
        </w:tc>
      </w:tr>
      <w:tr w:rsidR="00EB7592" w:rsidRPr="004E6DBB" w14:paraId="28B94CD9" w14:textId="77777777" w:rsidTr="000F70A6">
        <w:tc>
          <w:tcPr>
            <w:tcW w:w="4606" w:type="dxa"/>
          </w:tcPr>
          <w:p w14:paraId="28B94CD7" w14:textId="77777777" w:rsidR="00EB7592" w:rsidRPr="004E6DBB" w:rsidRDefault="00EB7592" w:rsidP="0069623F">
            <w:pPr>
              <w:pStyle w:val="BodyText"/>
              <w:spacing w:before="120"/>
              <w:jc w:val="both"/>
              <w:rPr>
                <w:rFonts w:ascii="Times New Roman" w:hAnsi="Times New Roman"/>
                <w:sz w:val="24"/>
                <w:szCs w:val="24"/>
                <w:lang w:val="fr-FR"/>
              </w:rPr>
            </w:pPr>
            <w:r w:rsidRPr="004E6DBB">
              <w:rPr>
                <w:rFonts w:ascii="Times New Roman" w:hAnsi="Times New Roman"/>
                <w:b/>
                <w:sz w:val="24"/>
                <w:szCs w:val="24"/>
                <w:lang w:val="fr-FR"/>
              </w:rPr>
              <w:t>Overeenkomstige cijfers:</w:t>
            </w:r>
          </w:p>
        </w:tc>
        <w:tc>
          <w:tcPr>
            <w:tcW w:w="4606" w:type="dxa"/>
          </w:tcPr>
          <w:p w14:paraId="28B94CD8" w14:textId="77777777" w:rsidR="00EB7592" w:rsidRPr="004E6DBB" w:rsidRDefault="00EB7592" w:rsidP="0069623F">
            <w:pPr>
              <w:spacing w:before="120" w:after="120"/>
            </w:pPr>
            <w:r w:rsidRPr="004E6DBB">
              <w:rPr>
                <w:rFonts w:ascii="Times New Roman" w:hAnsi="Times New Roman"/>
                <w:sz w:val="24"/>
                <w:szCs w:val="24"/>
              </w:rPr>
              <w:t>De terminologie “overeenkomstige cijfers”</w:t>
            </w:r>
            <w:r w:rsidRPr="004E6DBB">
              <w:t xml:space="preserve"> </w:t>
            </w:r>
            <w:r w:rsidRPr="004E6DBB">
              <w:rPr>
                <w:rFonts w:ascii="Times New Roman" w:hAnsi="Times New Roman"/>
                <w:sz w:val="24"/>
                <w:szCs w:val="24"/>
              </w:rPr>
              <w:t>(ISA 710) lijkt duidelijker voor de lezer van de jaarrekening dan “vergelijkende cijfers” dat voorheen werd gebruikt</w:t>
            </w:r>
          </w:p>
        </w:tc>
      </w:tr>
      <w:tr w:rsidR="00A822CD" w:rsidRPr="004E6DBB" w14:paraId="28B94CDC" w14:textId="77777777" w:rsidTr="000F70A6">
        <w:tc>
          <w:tcPr>
            <w:tcW w:w="4606" w:type="dxa"/>
          </w:tcPr>
          <w:p w14:paraId="28B94CDA" w14:textId="77777777" w:rsidR="00A822CD" w:rsidRPr="004E6DBB" w:rsidRDefault="00A822CD" w:rsidP="0069623F">
            <w:pPr>
              <w:pStyle w:val="BodyText"/>
              <w:spacing w:before="120"/>
              <w:jc w:val="both"/>
              <w:rPr>
                <w:rFonts w:ascii="Times New Roman" w:hAnsi="Times New Roman"/>
                <w:b/>
                <w:sz w:val="24"/>
                <w:szCs w:val="24"/>
              </w:rPr>
            </w:pPr>
            <w:r w:rsidRPr="004E6DBB">
              <w:rPr>
                <w:rFonts w:ascii="Times New Roman" w:hAnsi="Times New Roman"/>
                <w:b/>
                <w:sz w:val="24"/>
                <w:szCs w:val="24"/>
              </w:rPr>
              <w:t>Overige door wet- of regelgeving gestelde eisen:</w:t>
            </w:r>
          </w:p>
        </w:tc>
        <w:tc>
          <w:tcPr>
            <w:tcW w:w="4606" w:type="dxa"/>
          </w:tcPr>
          <w:p w14:paraId="28B94CDB" w14:textId="77777777" w:rsidR="00A822CD" w:rsidRPr="004E6DBB" w:rsidRDefault="00A822CD" w:rsidP="0069623F">
            <w:pPr>
              <w:pStyle w:val="BodyText"/>
              <w:spacing w:before="120"/>
              <w:jc w:val="both"/>
              <w:rPr>
                <w:rFonts w:ascii="Times New Roman" w:hAnsi="Times New Roman"/>
                <w:sz w:val="24"/>
                <w:szCs w:val="24"/>
              </w:rPr>
            </w:pPr>
            <w:r w:rsidRPr="004E6DBB">
              <w:rPr>
                <w:rFonts w:ascii="Times New Roman" w:hAnsi="Times New Roman"/>
                <w:sz w:val="24"/>
                <w:szCs w:val="24"/>
              </w:rPr>
              <w:t>Het deel “Overige door wet- of regelgeving gestelde eisen” omvat de door het Wetboek van vennootschappen</w:t>
            </w:r>
            <w:r w:rsidR="00BF783C">
              <w:rPr>
                <w:rFonts w:ascii="Times New Roman" w:hAnsi="Times New Roman"/>
                <w:sz w:val="24"/>
                <w:szCs w:val="24"/>
              </w:rPr>
              <w:t xml:space="preserve"> en verenigingen</w:t>
            </w:r>
            <w:r w:rsidRPr="004E6DBB">
              <w:rPr>
                <w:rFonts w:ascii="Times New Roman" w:hAnsi="Times New Roman"/>
                <w:sz w:val="24"/>
                <w:szCs w:val="24"/>
              </w:rPr>
              <w:t xml:space="preserve"> en door ISA 720 (Herzien) vereiste bijkomende vermeldingen alsook de inlichtingen die niet door het Wetboek van vennootschappen </w:t>
            </w:r>
            <w:r w:rsidR="00A760E5">
              <w:rPr>
                <w:rFonts w:ascii="Times New Roman" w:hAnsi="Times New Roman"/>
                <w:sz w:val="24"/>
                <w:szCs w:val="24"/>
              </w:rPr>
              <w:t xml:space="preserve">en verenigingen </w:t>
            </w:r>
            <w:r w:rsidRPr="004E6DBB">
              <w:rPr>
                <w:rFonts w:ascii="Times New Roman" w:hAnsi="Times New Roman"/>
                <w:sz w:val="24"/>
                <w:szCs w:val="24"/>
              </w:rPr>
              <w:t>zijn vereist</w:t>
            </w:r>
          </w:p>
        </w:tc>
      </w:tr>
      <w:tr w:rsidR="00743172" w:rsidRPr="004E6DBB" w14:paraId="28B94CE3" w14:textId="77777777" w:rsidTr="000F70A6">
        <w:tc>
          <w:tcPr>
            <w:tcW w:w="4606" w:type="dxa"/>
          </w:tcPr>
          <w:p w14:paraId="28B94CE0" w14:textId="77777777" w:rsidR="00743172" w:rsidRPr="004E6DBB" w:rsidRDefault="00F93D30" w:rsidP="0069623F">
            <w:pPr>
              <w:pStyle w:val="BodyText"/>
              <w:spacing w:before="120"/>
              <w:jc w:val="both"/>
              <w:rPr>
                <w:rFonts w:ascii="Times New Roman" w:hAnsi="Times New Roman"/>
                <w:sz w:val="24"/>
                <w:szCs w:val="24"/>
                <w:lang w:val="fr-FR"/>
              </w:rPr>
            </w:pPr>
            <w:r w:rsidRPr="004E6DBB">
              <w:rPr>
                <w:rFonts w:ascii="Times New Roman" w:hAnsi="Times New Roman"/>
                <w:b/>
                <w:sz w:val="24"/>
                <w:szCs w:val="24"/>
                <w:lang w:val="fr-FR"/>
              </w:rPr>
              <w:t>Overige rapporteringsverplichtingen</w:t>
            </w:r>
            <w:r w:rsidR="009711F4" w:rsidRPr="004E6DBB">
              <w:rPr>
                <w:rFonts w:ascii="Times New Roman" w:hAnsi="Times New Roman"/>
                <w:b/>
                <w:sz w:val="24"/>
                <w:szCs w:val="24"/>
                <w:lang w:val="fr-FR"/>
              </w:rPr>
              <w:t>:</w:t>
            </w:r>
          </w:p>
        </w:tc>
        <w:tc>
          <w:tcPr>
            <w:tcW w:w="4606" w:type="dxa"/>
          </w:tcPr>
          <w:p w14:paraId="28B94CE2" w14:textId="07A3CE05" w:rsidR="00A2359C" w:rsidRPr="004E6DBB" w:rsidRDefault="00F93D30" w:rsidP="0069623F">
            <w:pPr>
              <w:pStyle w:val="BodyText"/>
              <w:spacing w:before="120"/>
              <w:jc w:val="both"/>
              <w:rPr>
                <w:rFonts w:ascii="Times New Roman" w:hAnsi="Times New Roman"/>
                <w:sz w:val="24"/>
                <w:szCs w:val="24"/>
              </w:rPr>
            </w:pPr>
            <w:r w:rsidRPr="004E6DBB">
              <w:rPr>
                <w:rFonts w:ascii="Times New Roman" w:hAnsi="Times New Roman"/>
                <w:sz w:val="24"/>
                <w:szCs w:val="24"/>
              </w:rPr>
              <w:t xml:space="preserve">Het </w:t>
            </w:r>
            <w:r w:rsidR="00A822CD" w:rsidRPr="004E6DBB">
              <w:rPr>
                <w:rFonts w:ascii="Times New Roman" w:hAnsi="Times New Roman"/>
                <w:sz w:val="24"/>
                <w:szCs w:val="24"/>
              </w:rPr>
              <w:t xml:space="preserve">deel </w:t>
            </w:r>
            <w:r w:rsidRPr="004E6DBB">
              <w:rPr>
                <w:rFonts w:ascii="Times New Roman" w:hAnsi="Times New Roman"/>
                <w:sz w:val="24"/>
                <w:szCs w:val="24"/>
              </w:rPr>
              <w:t>“</w:t>
            </w:r>
            <w:r w:rsidR="00A822CD" w:rsidRPr="004E6DBB">
              <w:rPr>
                <w:rFonts w:ascii="Times New Roman" w:hAnsi="Times New Roman"/>
                <w:sz w:val="24"/>
                <w:szCs w:val="24"/>
              </w:rPr>
              <w:t>O</w:t>
            </w:r>
            <w:r w:rsidRPr="004E6DBB">
              <w:rPr>
                <w:rFonts w:ascii="Times New Roman" w:hAnsi="Times New Roman"/>
                <w:sz w:val="24"/>
                <w:szCs w:val="24"/>
              </w:rPr>
              <w:t xml:space="preserve">verige door wet- en regelgeving gestelde </w:t>
            </w:r>
            <w:r w:rsidR="00A822CD" w:rsidRPr="004E6DBB">
              <w:rPr>
                <w:rFonts w:ascii="Times New Roman" w:hAnsi="Times New Roman"/>
                <w:sz w:val="24"/>
                <w:szCs w:val="24"/>
              </w:rPr>
              <w:t>eisen</w:t>
            </w:r>
            <w:r w:rsidR="00EB7592" w:rsidRPr="004E6DBB">
              <w:rPr>
                <w:rFonts w:ascii="Times New Roman" w:hAnsi="Times New Roman"/>
                <w:sz w:val="24"/>
                <w:szCs w:val="24"/>
              </w:rPr>
              <w:t>” behandelt de vermeldingen</w:t>
            </w:r>
            <w:r w:rsidRPr="004E6DBB">
              <w:rPr>
                <w:rFonts w:ascii="Times New Roman" w:hAnsi="Times New Roman"/>
                <w:sz w:val="24"/>
                <w:szCs w:val="24"/>
              </w:rPr>
              <w:t xml:space="preserve"> vereist door het Wetboek van vennootschappen</w:t>
            </w:r>
            <w:r w:rsidR="00BF783C">
              <w:rPr>
                <w:rFonts w:ascii="Times New Roman" w:hAnsi="Times New Roman"/>
                <w:sz w:val="24"/>
                <w:szCs w:val="24"/>
              </w:rPr>
              <w:t xml:space="preserve"> en verenigingen</w:t>
            </w:r>
            <w:r w:rsidR="00EB7592" w:rsidRPr="004E6DBB">
              <w:rPr>
                <w:rFonts w:ascii="Times New Roman" w:hAnsi="Times New Roman"/>
                <w:sz w:val="24"/>
                <w:szCs w:val="24"/>
              </w:rPr>
              <w:t xml:space="preserve"> en door ISA 720 (Herzien)</w:t>
            </w:r>
          </w:p>
        </w:tc>
      </w:tr>
      <w:tr w:rsidR="009711F4" w:rsidRPr="004E6DBB" w14:paraId="28B94CE8" w14:textId="77777777" w:rsidTr="000F70A6">
        <w:tc>
          <w:tcPr>
            <w:tcW w:w="4606" w:type="dxa"/>
          </w:tcPr>
          <w:p w14:paraId="28B94CE4" w14:textId="77777777" w:rsidR="009711F4" w:rsidRPr="004E6DBB" w:rsidRDefault="00F93D30" w:rsidP="0069623F">
            <w:pPr>
              <w:pStyle w:val="BodyText"/>
              <w:spacing w:before="120"/>
              <w:jc w:val="both"/>
              <w:rPr>
                <w:rFonts w:ascii="Times New Roman" w:hAnsi="Times New Roman"/>
                <w:b/>
                <w:sz w:val="24"/>
                <w:szCs w:val="24"/>
                <w:lang w:val="fr-FR"/>
              </w:rPr>
            </w:pPr>
            <w:r w:rsidRPr="004E6DBB">
              <w:rPr>
                <w:rFonts w:ascii="Times New Roman" w:hAnsi="Times New Roman"/>
                <w:b/>
                <w:sz w:val="24"/>
                <w:szCs w:val="24"/>
                <w:lang w:val="fr-FR"/>
              </w:rPr>
              <w:t>Plaatselijke wetgeving</w:t>
            </w:r>
            <w:r w:rsidR="009711F4" w:rsidRPr="004E6DBB">
              <w:rPr>
                <w:rFonts w:ascii="Times New Roman" w:hAnsi="Times New Roman"/>
                <w:b/>
                <w:sz w:val="24"/>
                <w:szCs w:val="24"/>
                <w:lang w:val="fr-FR"/>
              </w:rPr>
              <w:t>:</w:t>
            </w:r>
          </w:p>
        </w:tc>
        <w:tc>
          <w:tcPr>
            <w:tcW w:w="4606" w:type="dxa"/>
          </w:tcPr>
          <w:p w14:paraId="28B94CE7" w14:textId="3AC2E752" w:rsidR="00A2359C" w:rsidRPr="004E6DBB" w:rsidRDefault="00F93D30" w:rsidP="0069623F">
            <w:pPr>
              <w:pStyle w:val="BodyText"/>
              <w:spacing w:before="120"/>
              <w:jc w:val="both"/>
              <w:rPr>
                <w:rFonts w:ascii="Times New Roman" w:hAnsi="Times New Roman"/>
                <w:sz w:val="24"/>
                <w:szCs w:val="24"/>
              </w:rPr>
            </w:pPr>
            <w:r w:rsidRPr="004E6DBB">
              <w:rPr>
                <w:rFonts w:ascii="Times New Roman" w:hAnsi="Times New Roman"/>
                <w:sz w:val="24"/>
                <w:szCs w:val="24"/>
              </w:rPr>
              <w:t>Beoogt over het algemeen het Wetboek van vennootschappen</w:t>
            </w:r>
            <w:r w:rsidR="00BF783C">
              <w:rPr>
                <w:rFonts w:ascii="Times New Roman" w:hAnsi="Times New Roman"/>
                <w:sz w:val="24"/>
                <w:szCs w:val="24"/>
              </w:rPr>
              <w:t xml:space="preserve"> en verenigingen</w:t>
            </w:r>
            <w:r w:rsidRPr="004E6DBB">
              <w:rPr>
                <w:rFonts w:ascii="Times New Roman" w:hAnsi="Times New Roman"/>
                <w:sz w:val="24"/>
                <w:szCs w:val="24"/>
              </w:rPr>
              <w:t xml:space="preserve"> en het koninklijk besluit van </w:t>
            </w:r>
            <w:r w:rsidR="00BF783C">
              <w:rPr>
                <w:rFonts w:ascii="Times New Roman" w:hAnsi="Times New Roman"/>
                <w:sz w:val="24"/>
                <w:szCs w:val="24"/>
              </w:rPr>
              <w:t>29 april 2019</w:t>
            </w:r>
            <w:r w:rsidR="004D33E3" w:rsidRPr="004E6DBB">
              <w:rPr>
                <w:rFonts w:ascii="Times New Roman" w:hAnsi="Times New Roman"/>
                <w:sz w:val="24"/>
                <w:szCs w:val="24"/>
              </w:rPr>
              <w:t xml:space="preserve"> tot uitvoering van het Wetboek van vennootschappen</w:t>
            </w:r>
            <w:r w:rsidR="00BF783C">
              <w:rPr>
                <w:rFonts w:ascii="Times New Roman" w:hAnsi="Times New Roman"/>
                <w:sz w:val="24"/>
                <w:szCs w:val="24"/>
              </w:rPr>
              <w:t xml:space="preserve"> en verenigingen</w:t>
            </w:r>
          </w:p>
        </w:tc>
      </w:tr>
    </w:tbl>
    <w:p w14:paraId="28B94CF2" w14:textId="77777777" w:rsidR="006611F7" w:rsidRPr="00C65C07" w:rsidRDefault="008D0392"/>
    <w:sectPr w:rsidR="006611F7" w:rsidRPr="00C65C0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21F1C" w14:textId="77777777" w:rsidR="0042009B" w:rsidRDefault="0042009B" w:rsidP="00772EE9">
      <w:pPr>
        <w:spacing w:line="240" w:lineRule="auto"/>
      </w:pPr>
      <w:r>
        <w:separator/>
      </w:r>
    </w:p>
  </w:endnote>
  <w:endnote w:type="continuationSeparator" w:id="0">
    <w:p w14:paraId="3EEC2B8D" w14:textId="77777777" w:rsidR="0042009B" w:rsidRDefault="0042009B" w:rsidP="00772E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0D41" w14:textId="77777777" w:rsidR="00471496" w:rsidRDefault="00471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4CFA" w14:textId="0BCCE1C5" w:rsidR="00772EE9" w:rsidRPr="00921B88" w:rsidRDefault="00471496">
    <w:pPr>
      <w:pStyle w:val="Footer"/>
      <w:rPr>
        <w:lang w:val="en-US"/>
      </w:rPr>
    </w:pPr>
    <w:r>
      <w:rPr>
        <w:lang w:val="en-US"/>
      </w:rPr>
      <w:t xml:space="preserve">ICCI </w:t>
    </w:r>
    <w:r w:rsidR="00921B88">
      <w:rPr>
        <w:lang w:val="en-US"/>
      </w:rPr>
      <w:t>2023-1 Commissarisverslag</w:t>
    </w:r>
    <w:r w:rsidR="00921B88">
      <w:rPr>
        <w:lang w:val="en-US"/>
      </w:rPr>
      <w:tab/>
      <w:t>Bijlage 2</w:t>
    </w:r>
    <w:r w:rsidR="00921B88">
      <w:rPr>
        <w:lang w:val="en-US"/>
      </w:rPr>
      <w:tab/>
      <w:t>Juli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7510" w14:textId="77777777" w:rsidR="00471496" w:rsidRDefault="00471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1193" w14:textId="77777777" w:rsidR="0042009B" w:rsidRDefault="0042009B" w:rsidP="00772EE9">
      <w:pPr>
        <w:spacing w:line="240" w:lineRule="auto"/>
      </w:pPr>
      <w:r>
        <w:separator/>
      </w:r>
    </w:p>
  </w:footnote>
  <w:footnote w:type="continuationSeparator" w:id="0">
    <w:p w14:paraId="72F4A76A" w14:textId="77777777" w:rsidR="0042009B" w:rsidRDefault="0042009B" w:rsidP="00772E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1B04" w14:textId="77777777" w:rsidR="00471496" w:rsidRDefault="00471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3FDE" w14:textId="77777777" w:rsidR="00471496" w:rsidRDefault="004714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B3F7" w14:textId="77777777" w:rsidR="00471496" w:rsidRDefault="004714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14C"/>
    <w:rsid w:val="00005D6B"/>
    <w:rsid w:val="00041472"/>
    <w:rsid w:val="000B5CE9"/>
    <w:rsid w:val="000F70A6"/>
    <w:rsid w:val="001052B1"/>
    <w:rsid w:val="0012514C"/>
    <w:rsid w:val="00162CB5"/>
    <w:rsid w:val="001F1442"/>
    <w:rsid w:val="00262C96"/>
    <w:rsid w:val="002A2FD1"/>
    <w:rsid w:val="002C07FC"/>
    <w:rsid w:val="002D411E"/>
    <w:rsid w:val="003A366C"/>
    <w:rsid w:val="0042009B"/>
    <w:rsid w:val="00450FBD"/>
    <w:rsid w:val="00471496"/>
    <w:rsid w:val="004D33E3"/>
    <w:rsid w:val="004E6DBB"/>
    <w:rsid w:val="00691A3F"/>
    <w:rsid w:val="00691E3D"/>
    <w:rsid w:val="0069623F"/>
    <w:rsid w:val="00715A89"/>
    <w:rsid w:val="00717E2A"/>
    <w:rsid w:val="007335B3"/>
    <w:rsid w:val="00743172"/>
    <w:rsid w:val="00772EE9"/>
    <w:rsid w:val="007A1AD6"/>
    <w:rsid w:val="007A303D"/>
    <w:rsid w:val="007A390B"/>
    <w:rsid w:val="008B6428"/>
    <w:rsid w:val="008D0392"/>
    <w:rsid w:val="008F6A83"/>
    <w:rsid w:val="00921B88"/>
    <w:rsid w:val="009711F4"/>
    <w:rsid w:val="009A7827"/>
    <w:rsid w:val="009B41F2"/>
    <w:rsid w:val="009D6B25"/>
    <w:rsid w:val="00A2359C"/>
    <w:rsid w:val="00A26E2A"/>
    <w:rsid w:val="00A760E5"/>
    <w:rsid w:val="00A822CD"/>
    <w:rsid w:val="00BD6BF5"/>
    <w:rsid w:val="00BF783C"/>
    <w:rsid w:val="00C03076"/>
    <w:rsid w:val="00C65C07"/>
    <w:rsid w:val="00CD7DB2"/>
    <w:rsid w:val="00CE246F"/>
    <w:rsid w:val="00D32559"/>
    <w:rsid w:val="00D748D1"/>
    <w:rsid w:val="00DB7E33"/>
    <w:rsid w:val="00DF7430"/>
    <w:rsid w:val="00EB7592"/>
    <w:rsid w:val="00F859CD"/>
    <w:rsid w:val="00F93D30"/>
    <w:rsid w:val="00FA27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9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14C"/>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12514C"/>
    <w:pPr>
      <w:spacing w:after="120"/>
    </w:pPr>
    <w:rPr>
      <w:rFonts w:ascii="Calibri" w:eastAsia="Calibri" w:hAnsi="Calibri" w:cs="Times New Roman"/>
    </w:rPr>
  </w:style>
  <w:style w:type="character" w:customStyle="1" w:styleId="BodyTextChar">
    <w:name w:val="Body Text Char"/>
    <w:basedOn w:val="DefaultParagraphFont"/>
    <w:link w:val="BodyText"/>
    <w:rsid w:val="0012514C"/>
    <w:rPr>
      <w:rFonts w:ascii="Calibri" w:eastAsia="Calibri" w:hAnsi="Calibri" w:cs="Times New Roman"/>
    </w:rPr>
  </w:style>
  <w:style w:type="paragraph" w:styleId="BalloonText">
    <w:name w:val="Balloon Text"/>
    <w:basedOn w:val="Normal"/>
    <w:link w:val="BalloonTextChar"/>
    <w:uiPriority w:val="99"/>
    <w:semiHidden/>
    <w:unhideWhenUsed/>
    <w:rsid w:val="007431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172"/>
    <w:rPr>
      <w:rFonts w:ascii="Tahoma" w:hAnsi="Tahoma" w:cs="Tahoma"/>
      <w:sz w:val="16"/>
      <w:szCs w:val="16"/>
    </w:rPr>
  </w:style>
  <w:style w:type="table" w:styleId="TableGrid">
    <w:name w:val="Table Grid"/>
    <w:basedOn w:val="TableNormal"/>
    <w:uiPriority w:val="59"/>
    <w:rsid w:val="00743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2EE9"/>
    <w:pPr>
      <w:tabs>
        <w:tab w:val="center" w:pos="4513"/>
        <w:tab w:val="right" w:pos="9026"/>
      </w:tabs>
      <w:spacing w:line="240" w:lineRule="auto"/>
    </w:pPr>
  </w:style>
  <w:style w:type="character" w:customStyle="1" w:styleId="HeaderChar">
    <w:name w:val="Header Char"/>
    <w:basedOn w:val="DefaultParagraphFont"/>
    <w:link w:val="Header"/>
    <w:uiPriority w:val="99"/>
    <w:rsid w:val="00772EE9"/>
  </w:style>
  <w:style w:type="paragraph" w:styleId="Footer">
    <w:name w:val="footer"/>
    <w:basedOn w:val="Normal"/>
    <w:link w:val="FooterChar"/>
    <w:uiPriority w:val="99"/>
    <w:unhideWhenUsed/>
    <w:rsid w:val="00772EE9"/>
    <w:pPr>
      <w:tabs>
        <w:tab w:val="center" w:pos="4513"/>
        <w:tab w:val="right" w:pos="9026"/>
      </w:tabs>
      <w:spacing w:line="240" w:lineRule="auto"/>
    </w:pPr>
  </w:style>
  <w:style w:type="character" w:customStyle="1" w:styleId="FooterChar">
    <w:name w:val="Footer Char"/>
    <w:basedOn w:val="DefaultParagraphFont"/>
    <w:link w:val="Footer"/>
    <w:uiPriority w:val="99"/>
    <w:rsid w:val="00772EE9"/>
  </w:style>
  <w:style w:type="paragraph" w:styleId="Revision">
    <w:name w:val="Revision"/>
    <w:hidden/>
    <w:uiPriority w:val="99"/>
    <w:semiHidden/>
    <w:rsid w:val="00715A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9" ma:contentTypeDescription="Create a new document." ma:contentTypeScope="" ma:versionID="ddf3a100450ceadf4e02567bd12f36a6">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58c9c0cccb7c0426fa8632eb013b2e2d"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nb xmlns="86d8d313-957f-44b4-bb66-f96f0d40e904" xsi:nil="true"/>
    <TaxCatchAll xmlns="ff960655-24fd-4f3f-8e9c-285049d99abf" xsi:nil="true"/>
    <lcf76f155ced4ddcb4097134ff3c332f xmlns="86d8d313-957f-44b4-bb66-f96f0d40e9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78CAE2-5149-4CD1-9402-1FB8FBD37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4CC953-C13D-4972-B8E6-ACD27ACF8849}">
  <ds:schemaRefs>
    <ds:schemaRef ds:uri="http://schemas.microsoft.com/sharepoint/v3/contenttype/forms"/>
  </ds:schemaRefs>
</ds:datastoreItem>
</file>

<file path=customXml/itemProps3.xml><?xml version="1.0" encoding="utf-8"?>
<ds:datastoreItem xmlns:ds="http://schemas.openxmlformats.org/officeDocument/2006/customXml" ds:itemID="{A81C5E5A-218B-4A05-BDBD-5A9717B51E34}">
  <ds:schemaRefs>
    <ds:schemaRef ds:uri="http://schemas.microsoft.com/office/2006/metadata/properties"/>
    <ds:schemaRef ds:uri="http://schemas.microsoft.com/office/infopath/2007/PartnerControls"/>
    <ds:schemaRef ds:uri="86d8d313-957f-44b4-bb66-f96f0d40e904"/>
    <ds:schemaRef ds:uri="ff960655-24fd-4f3f-8e9c-285049d99a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2019-03-31T08:14:00Z</dcterms:created>
  <dcterms:modified xsi:type="dcterms:W3CDTF">2023-08-16T15:24:00Z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4907600</vt:r8>
  </property>
  <property fmtid="{D5CDD505-2E9C-101B-9397-08002B2CF9AE}" pid="4" name="MediaServiceImageTags">
    <vt:lpwstr/>
  </property>
</Properties>
</file>