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CEF56" w14:textId="77777777" w:rsidR="00E66DE0" w:rsidRPr="00365CDB" w:rsidRDefault="003E0FDB" w:rsidP="00365CDB">
      <w:pPr>
        <w:jc w:val="center"/>
        <w:rPr>
          <w:rFonts w:ascii="Times New Roman" w:hAnsi="Times New Roman" w:cs="Times New Roman"/>
          <w:sz w:val="24"/>
          <w:szCs w:val="24"/>
          <w:lang w:val="fr-FR"/>
        </w:rPr>
      </w:pPr>
      <w:r>
        <w:rPr>
          <w:rFonts w:ascii="Times New Roman" w:hAnsi="Times New Roman" w:cs="Times New Roman"/>
          <w:sz w:val="24"/>
          <w:szCs w:val="24"/>
          <w:lang w:val="fr-FR"/>
        </w:rPr>
        <w:t>ANNEXE</w:t>
      </w:r>
      <w:r w:rsidR="0019024F">
        <w:rPr>
          <w:rFonts w:ascii="Times New Roman" w:hAnsi="Times New Roman" w:cs="Times New Roman"/>
          <w:sz w:val="24"/>
          <w:szCs w:val="24"/>
          <w:lang w:val="fr-FR"/>
        </w:rPr>
        <w:t xml:space="preserve"> </w:t>
      </w:r>
      <w:r w:rsidR="008F272D">
        <w:rPr>
          <w:rFonts w:ascii="Times New Roman" w:hAnsi="Times New Roman" w:cs="Times New Roman"/>
          <w:sz w:val="24"/>
          <w:szCs w:val="24"/>
          <w:lang w:val="fr-FR"/>
        </w:rPr>
        <w:t>8</w:t>
      </w:r>
    </w:p>
    <w:p w14:paraId="249CEF57" w14:textId="3BC2669D" w:rsidR="00365CDB" w:rsidRPr="00DE2864" w:rsidRDefault="00D914E0" w:rsidP="00365CDB">
      <w:pPr>
        <w:spacing w:line="240" w:lineRule="auto"/>
        <w:jc w:val="center"/>
        <w:rPr>
          <w:rFonts w:ascii="Times New Roman" w:hAnsi="Times New Roman"/>
          <w:b/>
          <w:sz w:val="24"/>
          <w:szCs w:val="24"/>
          <w:lang w:val="fr-FR"/>
        </w:rPr>
      </w:pPr>
      <w:r>
        <w:rPr>
          <w:rFonts w:ascii="Times New Roman" w:hAnsi="Times New Roman"/>
          <w:b/>
          <w:sz w:val="24"/>
          <w:szCs w:val="24"/>
          <w:lang w:val="fr-FR"/>
        </w:rPr>
        <w:t>S</w:t>
      </w:r>
      <w:r w:rsidR="00C36BDB">
        <w:rPr>
          <w:rFonts w:ascii="Times New Roman" w:hAnsi="Times New Roman"/>
          <w:b/>
          <w:sz w:val="24"/>
          <w:szCs w:val="24"/>
          <w:lang w:val="fr-FR"/>
        </w:rPr>
        <w:t>élection</w:t>
      </w:r>
      <w:r>
        <w:rPr>
          <w:rFonts w:ascii="Times New Roman" w:hAnsi="Times New Roman"/>
          <w:b/>
          <w:sz w:val="24"/>
          <w:szCs w:val="24"/>
          <w:lang w:val="fr-FR"/>
        </w:rPr>
        <w:t xml:space="preserve"> de </w:t>
      </w:r>
      <w:r w:rsidR="00146E2A">
        <w:rPr>
          <w:rFonts w:ascii="Times New Roman" w:hAnsi="Times New Roman"/>
          <w:b/>
          <w:sz w:val="24"/>
          <w:szCs w:val="24"/>
          <w:lang w:val="fr-FR"/>
        </w:rPr>
        <w:t>r</w:t>
      </w:r>
      <w:r w:rsidR="00365CDB" w:rsidRPr="00DE2864">
        <w:rPr>
          <w:rFonts w:ascii="Times New Roman" w:hAnsi="Times New Roman"/>
          <w:b/>
          <w:sz w:val="24"/>
          <w:szCs w:val="24"/>
          <w:lang w:val="fr-FR"/>
        </w:rPr>
        <w:t>éférences au</w:t>
      </w:r>
      <w:r w:rsidR="00146E2A">
        <w:rPr>
          <w:rFonts w:ascii="Times New Roman" w:hAnsi="Times New Roman"/>
          <w:b/>
          <w:sz w:val="24"/>
          <w:szCs w:val="24"/>
          <w:lang w:val="fr-FR"/>
        </w:rPr>
        <w:t xml:space="preserve"> rapport du commissaire dans le</w:t>
      </w:r>
      <w:r w:rsidR="00365CDB" w:rsidRPr="00DE2864">
        <w:rPr>
          <w:rFonts w:ascii="Times New Roman" w:hAnsi="Times New Roman"/>
          <w:b/>
          <w:sz w:val="24"/>
          <w:szCs w:val="24"/>
          <w:lang w:val="fr-FR"/>
        </w:rPr>
        <w:t xml:space="preserve"> </w:t>
      </w:r>
      <w:r w:rsidR="00CC17FF" w:rsidRPr="001E138C">
        <w:rPr>
          <w:rFonts w:ascii="Times New Roman" w:hAnsi="Times New Roman"/>
          <w:b/>
          <w:sz w:val="24"/>
          <w:szCs w:val="24"/>
          <w:lang w:val="fr-FR"/>
        </w:rPr>
        <w:t>Vad</w:t>
      </w:r>
      <w:r w:rsidR="004E0356">
        <w:rPr>
          <w:rFonts w:ascii="Times New Roman" w:hAnsi="Times New Roman"/>
          <w:b/>
          <w:sz w:val="24"/>
          <w:szCs w:val="24"/>
          <w:lang w:val="fr-FR"/>
        </w:rPr>
        <w:t>e</w:t>
      </w:r>
      <w:r w:rsidR="00CC17FF" w:rsidRPr="001E138C">
        <w:rPr>
          <w:rFonts w:ascii="Times New Roman" w:hAnsi="Times New Roman"/>
          <w:b/>
          <w:sz w:val="24"/>
          <w:szCs w:val="24"/>
          <w:lang w:val="fr-FR"/>
        </w:rPr>
        <w:t>m</w:t>
      </w:r>
      <w:r w:rsidR="004E0356">
        <w:rPr>
          <w:rFonts w:ascii="Times New Roman" w:hAnsi="Times New Roman"/>
          <w:b/>
          <w:sz w:val="24"/>
          <w:szCs w:val="24"/>
          <w:lang w:val="fr-FR"/>
        </w:rPr>
        <w:t>e</w:t>
      </w:r>
      <w:r w:rsidR="00CC17FF" w:rsidRPr="001E138C">
        <w:rPr>
          <w:rFonts w:ascii="Times New Roman" w:hAnsi="Times New Roman"/>
          <w:b/>
          <w:sz w:val="24"/>
          <w:szCs w:val="24"/>
          <w:lang w:val="fr-FR"/>
        </w:rPr>
        <w:t>cum</w:t>
      </w:r>
      <w:r w:rsidR="00365CDB" w:rsidRPr="00A2553C">
        <w:rPr>
          <w:rFonts w:ascii="Times New Roman" w:hAnsi="Times New Roman"/>
          <w:b/>
          <w:sz w:val="24"/>
          <w:szCs w:val="24"/>
          <w:lang w:val="fr-FR"/>
        </w:rPr>
        <w:t xml:space="preserve">, </w:t>
      </w:r>
      <w:r w:rsidR="00146E2A">
        <w:rPr>
          <w:rFonts w:ascii="Times New Roman" w:hAnsi="Times New Roman"/>
          <w:b/>
          <w:sz w:val="24"/>
          <w:szCs w:val="24"/>
          <w:lang w:val="fr-FR"/>
        </w:rPr>
        <w:t>les</w:t>
      </w:r>
      <w:r w:rsidR="00365CDB" w:rsidRPr="00A2553C">
        <w:rPr>
          <w:rFonts w:ascii="Times New Roman" w:hAnsi="Times New Roman"/>
          <w:b/>
          <w:sz w:val="24"/>
          <w:szCs w:val="24"/>
          <w:lang w:val="fr-FR"/>
        </w:rPr>
        <w:t xml:space="preserve"> avis</w:t>
      </w:r>
      <w:r w:rsidR="00365CDB">
        <w:rPr>
          <w:rFonts w:ascii="Times New Roman" w:hAnsi="Times New Roman"/>
          <w:b/>
          <w:sz w:val="24"/>
          <w:szCs w:val="24"/>
          <w:lang w:val="fr-FR"/>
        </w:rPr>
        <w:t>,</w:t>
      </w:r>
      <w:r w:rsidR="00365CDB" w:rsidRPr="00A2553C">
        <w:rPr>
          <w:rFonts w:ascii="Times New Roman" w:hAnsi="Times New Roman"/>
          <w:b/>
          <w:sz w:val="24"/>
          <w:szCs w:val="24"/>
          <w:lang w:val="fr-FR"/>
        </w:rPr>
        <w:t xml:space="preserve"> </w:t>
      </w:r>
      <w:r w:rsidR="00365CDB">
        <w:rPr>
          <w:rFonts w:ascii="Times New Roman" w:hAnsi="Times New Roman"/>
          <w:b/>
          <w:sz w:val="24"/>
          <w:szCs w:val="24"/>
          <w:lang w:val="fr-FR"/>
        </w:rPr>
        <w:t xml:space="preserve">circulaires et communications </w:t>
      </w:r>
      <w:r w:rsidR="00365CDB" w:rsidRPr="00A2553C">
        <w:rPr>
          <w:rFonts w:ascii="Times New Roman" w:hAnsi="Times New Roman"/>
          <w:b/>
          <w:sz w:val="24"/>
          <w:szCs w:val="24"/>
          <w:lang w:val="fr-FR"/>
        </w:rPr>
        <w:t>émis par l</w:t>
      </w:r>
      <w:r w:rsidR="001E138C">
        <w:rPr>
          <w:rFonts w:ascii="Times New Roman" w:hAnsi="Times New Roman"/>
          <w:b/>
          <w:sz w:val="24"/>
          <w:szCs w:val="24"/>
          <w:lang w:val="fr-FR"/>
        </w:rPr>
        <w:t>’</w:t>
      </w:r>
      <w:r w:rsidR="00365CDB" w:rsidRPr="00A2553C">
        <w:rPr>
          <w:rFonts w:ascii="Times New Roman" w:hAnsi="Times New Roman"/>
          <w:b/>
          <w:sz w:val="24"/>
          <w:szCs w:val="24"/>
          <w:lang w:val="fr-FR"/>
        </w:rPr>
        <w:t>Institut des Réviseurs d</w:t>
      </w:r>
      <w:r w:rsidR="001E138C">
        <w:rPr>
          <w:rFonts w:ascii="Times New Roman" w:hAnsi="Times New Roman"/>
          <w:b/>
          <w:sz w:val="24"/>
          <w:szCs w:val="24"/>
          <w:lang w:val="fr-FR"/>
        </w:rPr>
        <w:t>’</w:t>
      </w:r>
      <w:r w:rsidR="00365CDB" w:rsidRPr="00A2553C">
        <w:rPr>
          <w:rFonts w:ascii="Times New Roman" w:hAnsi="Times New Roman"/>
          <w:b/>
          <w:sz w:val="24"/>
          <w:szCs w:val="24"/>
          <w:lang w:val="fr-FR"/>
        </w:rPr>
        <w:t>Entreprises</w:t>
      </w:r>
      <w:r w:rsidR="0099054C">
        <w:rPr>
          <w:rFonts w:ascii="Times New Roman" w:hAnsi="Times New Roman"/>
          <w:b/>
          <w:sz w:val="24"/>
          <w:szCs w:val="24"/>
          <w:lang w:val="fr-FR"/>
        </w:rPr>
        <w:t>,</w:t>
      </w:r>
      <w:r w:rsidR="00146E2A">
        <w:rPr>
          <w:rFonts w:ascii="Times New Roman" w:hAnsi="Times New Roman"/>
          <w:b/>
          <w:sz w:val="24"/>
          <w:szCs w:val="24"/>
          <w:lang w:val="fr-FR"/>
        </w:rPr>
        <w:t xml:space="preserve"> ainsi </w:t>
      </w:r>
      <w:r>
        <w:rPr>
          <w:rFonts w:ascii="Times New Roman" w:hAnsi="Times New Roman"/>
          <w:b/>
          <w:sz w:val="24"/>
          <w:szCs w:val="24"/>
          <w:lang w:val="fr-FR"/>
        </w:rPr>
        <w:t xml:space="preserve">que </w:t>
      </w:r>
      <w:r w:rsidR="0099054C">
        <w:rPr>
          <w:rFonts w:ascii="Times New Roman" w:hAnsi="Times New Roman"/>
          <w:b/>
          <w:sz w:val="24"/>
          <w:szCs w:val="24"/>
          <w:lang w:val="fr-FR"/>
        </w:rPr>
        <w:t xml:space="preserve">de </w:t>
      </w:r>
      <w:r w:rsidR="00146E2A">
        <w:rPr>
          <w:rFonts w:ascii="Times New Roman" w:hAnsi="Times New Roman"/>
          <w:b/>
          <w:sz w:val="24"/>
          <w:szCs w:val="24"/>
          <w:lang w:val="fr-FR"/>
        </w:rPr>
        <w:t>certains</w:t>
      </w:r>
      <w:r w:rsidR="00A875CA">
        <w:rPr>
          <w:rFonts w:ascii="Times New Roman" w:hAnsi="Times New Roman"/>
          <w:b/>
          <w:sz w:val="24"/>
          <w:szCs w:val="24"/>
          <w:lang w:val="fr-FR"/>
        </w:rPr>
        <w:t xml:space="preserve"> </w:t>
      </w:r>
      <w:r w:rsidR="00365CDB" w:rsidRPr="004B4A97">
        <w:rPr>
          <w:rFonts w:ascii="Times New Roman" w:hAnsi="Times New Roman"/>
          <w:b/>
          <w:sz w:val="24"/>
          <w:szCs w:val="24"/>
          <w:lang w:val="fr-FR"/>
        </w:rPr>
        <w:t>avis de l</w:t>
      </w:r>
      <w:r w:rsidR="001E138C">
        <w:rPr>
          <w:rFonts w:ascii="Times New Roman" w:hAnsi="Times New Roman"/>
          <w:b/>
          <w:sz w:val="24"/>
          <w:szCs w:val="24"/>
          <w:lang w:val="fr-FR"/>
        </w:rPr>
        <w:t>’</w:t>
      </w:r>
      <w:r w:rsidR="00365CDB" w:rsidRPr="004B4A97">
        <w:rPr>
          <w:rFonts w:ascii="Times New Roman" w:hAnsi="Times New Roman"/>
          <w:b/>
          <w:sz w:val="24"/>
          <w:szCs w:val="24"/>
          <w:lang w:val="fr-FR"/>
        </w:rPr>
        <w:t>ICCI</w:t>
      </w:r>
      <w:r w:rsidR="00365CDB" w:rsidRPr="00A2553C">
        <w:rPr>
          <w:rFonts w:ascii="Times New Roman" w:hAnsi="Times New Roman"/>
          <w:b/>
          <w:sz w:val="24"/>
          <w:szCs w:val="24"/>
          <w:lang w:val="fr-FR"/>
        </w:rPr>
        <w:t xml:space="preserve"> relatifs au rapport du commissaire</w:t>
      </w:r>
    </w:p>
    <w:p w14:paraId="249CEF58" w14:textId="77777777" w:rsidR="00365CDB" w:rsidRDefault="00365CDB" w:rsidP="00767B68">
      <w:pPr>
        <w:numPr>
          <w:ilvl w:val="12"/>
          <w:numId w:val="0"/>
        </w:numPr>
        <w:spacing w:line="240" w:lineRule="auto"/>
        <w:ind w:left="284" w:hanging="284"/>
        <w:jc w:val="both"/>
        <w:rPr>
          <w:rFonts w:ascii="Times New Roman" w:eastAsia="Calibri" w:hAnsi="Times New Roman" w:cs="Times New Roman"/>
          <w:b/>
          <w:sz w:val="24"/>
          <w:szCs w:val="24"/>
          <w:lang w:val="fr-FR"/>
        </w:rPr>
      </w:pPr>
    </w:p>
    <w:p w14:paraId="249CEF59" w14:textId="1B796564" w:rsidR="00146E2A" w:rsidRDefault="00146E2A" w:rsidP="00767B68">
      <w:pPr>
        <w:numPr>
          <w:ilvl w:val="12"/>
          <w:numId w:val="0"/>
        </w:num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cs="Times New Roman"/>
          <w:sz w:val="24"/>
          <w:szCs w:val="24"/>
          <w:lang w:val="fr-FR"/>
        </w:rPr>
      </w:pPr>
      <w:r>
        <w:rPr>
          <w:rFonts w:ascii="Times New Roman" w:eastAsia="Calibri" w:hAnsi="Times New Roman" w:cs="Times New Roman"/>
          <w:sz w:val="24"/>
          <w:szCs w:val="24"/>
          <w:u w:val="single"/>
          <w:lang w:val="fr-FR"/>
        </w:rPr>
        <w:t>AVERTISSEMENT</w:t>
      </w:r>
      <w:r w:rsidR="00E54FB7">
        <w:rPr>
          <w:rFonts w:ascii="Times New Roman" w:eastAsia="Calibri" w:hAnsi="Times New Roman" w:cs="Times New Roman"/>
          <w:sz w:val="24"/>
          <w:szCs w:val="24"/>
          <w:u w:val="single"/>
          <w:lang w:val="fr-FR"/>
        </w:rPr>
        <w:t>S</w:t>
      </w:r>
      <w:r>
        <w:rPr>
          <w:rFonts w:ascii="Times New Roman" w:eastAsia="Calibri" w:hAnsi="Times New Roman" w:cs="Times New Roman"/>
          <w:sz w:val="24"/>
          <w:szCs w:val="24"/>
          <w:u w:val="single"/>
          <w:lang w:val="fr-FR"/>
        </w:rPr>
        <w:t> </w:t>
      </w:r>
      <w:r>
        <w:rPr>
          <w:rFonts w:ascii="Times New Roman" w:eastAsia="Calibri" w:hAnsi="Times New Roman" w:cs="Times New Roman"/>
          <w:sz w:val="24"/>
          <w:szCs w:val="24"/>
          <w:lang w:val="fr-FR"/>
        </w:rPr>
        <w:t xml:space="preserve">: Dans </w:t>
      </w:r>
      <w:r w:rsidR="00210C12">
        <w:rPr>
          <w:rFonts w:ascii="Times New Roman" w:eastAsia="Calibri" w:hAnsi="Times New Roman" w:cs="Times New Roman"/>
          <w:sz w:val="24"/>
          <w:szCs w:val="24"/>
          <w:lang w:val="fr-FR"/>
        </w:rPr>
        <w:t xml:space="preserve">la doctrine reprise </w:t>
      </w:r>
      <w:r>
        <w:rPr>
          <w:rFonts w:ascii="Times New Roman" w:eastAsia="Calibri" w:hAnsi="Times New Roman" w:cs="Times New Roman"/>
          <w:sz w:val="24"/>
          <w:szCs w:val="24"/>
          <w:lang w:val="fr-FR"/>
        </w:rPr>
        <w:t xml:space="preserve">ci-après, il est </w:t>
      </w:r>
      <w:r w:rsidR="00210C12">
        <w:rPr>
          <w:rFonts w:ascii="Times New Roman" w:eastAsia="Calibri" w:hAnsi="Times New Roman" w:cs="Times New Roman"/>
          <w:sz w:val="24"/>
          <w:szCs w:val="24"/>
          <w:lang w:val="fr-FR"/>
        </w:rPr>
        <w:t>des fois</w:t>
      </w:r>
      <w:r>
        <w:rPr>
          <w:rFonts w:ascii="Times New Roman" w:eastAsia="Calibri" w:hAnsi="Times New Roman" w:cs="Times New Roman"/>
          <w:sz w:val="24"/>
          <w:szCs w:val="24"/>
          <w:lang w:val="fr-FR"/>
        </w:rPr>
        <w:t xml:space="preserve"> fait référence aux </w:t>
      </w:r>
      <w:r w:rsidR="00F474C6">
        <w:rPr>
          <w:rFonts w:ascii="Times New Roman" w:eastAsia="Calibri" w:hAnsi="Times New Roman" w:cs="Times New Roman"/>
          <w:sz w:val="24"/>
          <w:szCs w:val="24"/>
          <w:lang w:val="fr-FR"/>
        </w:rPr>
        <w:t>N</w:t>
      </w:r>
      <w:r>
        <w:rPr>
          <w:rFonts w:ascii="Times New Roman" w:eastAsia="Calibri" w:hAnsi="Times New Roman" w:cs="Times New Roman"/>
          <w:sz w:val="24"/>
          <w:szCs w:val="24"/>
          <w:lang w:val="fr-FR"/>
        </w:rPr>
        <w:t>ormes générales de révisio</w:t>
      </w:r>
      <w:r w:rsidR="00D914E0">
        <w:rPr>
          <w:rFonts w:ascii="Times New Roman" w:eastAsia="Calibri" w:hAnsi="Times New Roman" w:cs="Times New Roman"/>
          <w:sz w:val="24"/>
          <w:szCs w:val="24"/>
          <w:lang w:val="fr-FR"/>
        </w:rPr>
        <w:t>n. Etant donné que celles-ci s</w:t>
      </w:r>
      <w:r>
        <w:rPr>
          <w:rFonts w:ascii="Times New Roman" w:eastAsia="Calibri" w:hAnsi="Times New Roman" w:cs="Times New Roman"/>
          <w:sz w:val="24"/>
          <w:szCs w:val="24"/>
          <w:lang w:val="fr-FR"/>
        </w:rPr>
        <w:t>ont abrogées à partir de la double date d</w:t>
      </w:r>
      <w:r w:rsidR="001E138C">
        <w:rPr>
          <w:rFonts w:ascii="Times New Roman" w:eastAsia="Calibri" w:hAnsi="Times New Roman" w:cs="Times New Roman"/>
          <w:sz w:val="24"/>
          <w:szCs w:val="24"/>
          <w:lang w:val="fr-FR"/>
        </w:rPr>
        <w:t>’</w:t>
      </w:r>
      <w:r>
        <w:rPr>
          <w:rFonts w:ascii="Times New Roman" w:eastAsia="Calibri" w:hAnsi="Times New Roman" w:cs="Times New Roman"/>
          <w:sz w:val="24"/>
          <w:szCs w:val="24"/>
          <w:lang w:val="fr-FR"/>
        </w:rPr>
        <w:t xml:space="preserve">application des normes ISA en </w:t>
      </w:r>
      <w:r w:rsidR="00F474C6">
        <w:rPr>
          <w:rFonts w:ascii="Times New Roman" w:eastAsia="Calibri" w:hAnsi="Times New Roman" w:cs="Times New Roman"/>
          <w:sz w:val="24"/>
          <w:szCs w:val="24"/>
          <w:lang w:val="fr-FR"/>
        </w:rPr>
        <w:t>Belgique (2012 respectivement</w:t>
      </w:r>
      <w:r w:rsidR="001E138C">
        <w:rPr>
          <w:rFonts w:ascii="Times New Roman" w:eastAsia="Calibri" w:hAnsi="Times New Roman" w:cs="Times New Roman"/>
          <w:sz w:val="24"/>
          <w:szCs w:val="24"/>
          <w:lang w:val="fr-FR"/>
        </w:rPr>
        <w:t xml:space="preserve"> 2014)</w:t>
      </w:r>
      <w:r>
        <w:rPr>
          <w:rFonts w:ascii="Times New Roman" w:eastAsia="Calibri" w:hAnsi="Times New Roman" w:cs="Times New Roman"/>
          <w:sz w:val="24"/>
          <w:szCs w:val="24"/>
          <w:lang w:val="fr-FR"/>
        </w:rPr>
        <w:t>, le lecteur utilisera cette doctrine avec discernement, en fonction des circonstances, ainsi qu</w:t>
      </w:r>
      <w:r w:rsidR="001E138C">
        <w:rPr>
          <w:rFonts w:ascii="Times New Roman" w:eastAsia="Calibri" w:hAnsi="Times New Roman" w:cs="Times New Roman"/>
          <w:sz w:val="24"/>
          <w:szCs w:val="24"/>
          <w:lang w:val="fr-FR"/>
        </w:rPr>
        <w:t>’</w:t>
      </w:r>
      <w:r>
        <w:rPr>
          <w:rFonts w:ascii="Times New Roman" w:eastAsia="Calibri" w:hAnsi="Times New Roman" w:cs="Times New Roman"/>
          <w:sz w:val="24"/>
          <w:szCs w:val="24"/>
          <w:lang w:val="fr-FR"/>
        </w:rPr>
        <w:t>en tenant compte des normes ISA applicables en Belgique et de la norme complémentaire aux normes ISA applicables en Belgique.</w:t>
      </w:r>
    </w:p>
    <w:p w14:paraId="249CEF5A" w14:textId="1BDA1C8B" w:rsidR="00E54FB7" w:rsidRPr="00E54FB7" w:rsidRDefault="00E54FB7" w:rsidP="00767B68">
      <w:pPr>
        <w:numPr>
          <w:ilvl w:val="12"/>
          <w:numId w:val="0"/>
        </w:num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cs="Times New Roman"/>
          <w:sz w:val="24"/>
          <w:szCs w:val="24"/>
          <w:lang w:val="fr-BE"/>
        </w:rPr>
      </w:pPr>
    </w:p>
    <w:p w14:paraId="249CEF5C" w14:textId="77777777" w:rsidR="00D914E0" w:rsidRDefault="00D914E0" w:rsidP="00D914E0">
      <w:pPr>
        <w:pStyle w:val="ListParagraph"/>
        <w:numPr>
          <w:ilvl w:val="0"/>
          <w:numId w:val="2"/>
        </w:numPr>
        <w:spacing w:after="0"/>
        <w:ind w:left="714" w:hanging="357"/>
        <w:jc w:val="both"/>
        <w:rPr>
          <w:rFonts w:ascii="Times New Roman" w:eastAsia="Calibri" w:hAnsi="Times New Roman" w:cs="Times New Roman"/>
          <w:sz w:val="24"/>
          <w:szCs w:val="24"/>
          <w:lang w:val="fr-BE"/>
        </w:rPr>
      </w:pPr>
      <w:r w:rsidRPr="00365CDB">
        <w:rPr>
          <w:rFonts w:ascii="Times New Roman" w:eastAsia="Calibri" w:hAnsi="Times New Roman" w:cs="Times New Roman"/>
          <w:b/>
          <w:sz w:val="24"/>
          <w:szCs w:val="24"/>
          <w:lang w:val="fr-BE"/>
        </w:rPr>
        <w:t>Avis, circulaires et communications émis par l</w:t>
      </w:r>
      <w:r w:rsidR="001E138C">
        <w:rPr>
          <w:rFonts w:ascii="Times New Roman" w:eastAsia="Calibri" w:hAnsi="Times New Roman" w:cs="Times New Roman"/>
          <w:b/>
          <w:sz w:val="24"/>
          <w:szCs w:val="24"/>
          <w:lang w:val="fr-BE"/>
        </w:rPr>
        <w:t>’</w:t>
      </w:r>
      <w:r w:rsidRPr="00365CDB">
        <w:rPr>
          <w:rFonts w:ascii="Times New Roman" w:eastAsia="Calibri" w:hAnsi="Times New Roman" w:cs="Times New Roman"/>
          <w:b/>
          <w:sz w:val="24"/>
          <w:szCs w:val="24"/>
          <w:lang w:val="fr-BE"/>
        </w:rPr>
        <w:t>IRE relatifs au rapport du commissaire</w:t>
      </w:r>
      <w:r>
        <w:rPr>
          <w:rFonts w:ascii="Times New Roman" w:eastAsia="Calibri" w:hAnsi="Times New Roman" w:cs="Times New Roman"/>
          <w:b/>
          <w:sz w:val="24"/>
          <w:szCs w:val="24"/>
          <w:lang w:val="fr-BE"/>
        </w:rPr>
        <w:t xml:space="preserve"> </w:t>
      </w:r>
      <w:r>
        <w:rPr>
          <w:rFonts w:ascii="Times New Roman" w:eastAsia="Calibri" w:hAnsi="Times New Roman" w:cs="Times New Roman"/>
          <w:sz w:val="24"/>
          <w:szCs w:val="24"/>
          <w:lang w:val="fr-BE"/>
        </w:rPr>
        <w:t>(</w:t>
      </w:r>
      <w:r w:rsidRPr="00F474C6">
        <w:rPr>
          <w:rFonts w:ascii="Times New Roman" w:eastAsia="Calibri" w:hAnsi="Times New Roman" w:cs="Times New Roman"/>
          <w:sz w:val="24"/>
          <w:szCs w:val="24"/>
          <w:u w:val="single"/>
          <w:lang w:val="fr-BE"/>
        </w:rPr>
        <w:t>www.ibr-ire.be</w:t>
      </w:r>
      <w:r w:rsidRPr="00F474C6">
        <w:rPr>
          <w:rFonts w:ascii="Times New Roman" w:eastAsia="Calibri" w:hAnsi="Times New Roman" w:cs="Times New Roman"/>
          <w:sz w:val="24"/>
          <w:szCs w:val="24"/>
          <w:lang w:val="fr-BE"/>
        </w:rPr>
        <w:t>)</w:t>
      </w:r>
    </w:p>
    <w:p w14:paraId="249CEF5D" w14:textId="77777777" w:rsidR="00D914E0" w:rsidRPr="00365CDB" w:rsidRDefault="00D914E0" w:rsidP="00D914E0">
      <w:pPr>
        <w:pStyle w:val="ListParagraph"/>
        <w:spacing w:after="0"/>
        <w:ind w:left="714"/>
        <w:jc w:val="both"/>
        <w:rPr>
          <w:rFonts w:ascii="Times New Roman" w:eastAsia="Calibri" w:hAnsi="Times New Roman" w:cs="Times New Roman"/>
          <w:sz w:val="24"/>
          <w:szCs w:val="24"/>
          <w:lang w:val="fr-BE"/>
        </w:rPr>
      </w:pPr>
    </w:p>
    <w:p w14:paraId="7FA7CA4E" w14:textId="3978A794" w:rsidR="006E005D" w:rsidRDefault="006E005D"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sidRPr="006E005D">
        <w:rPr>
          <w:rFonts w:ascii="Times New Roman" w:eastAsia="Calibri" w:hAnsi="Times New Roman" w:cs="Times New Roman"/>
          <w:sz w:val="24"/>
          <w:szCs w:val="24"/>
          <w:lang w:val="fr-BE"/>
        </w:rPr>
        <w:t xml:space="preserve">Avis 2021/03 </w:t>
      </w:r>
      <w:r w:rsidR="000B26D5">
        <w:rPr>
          <w:rFonts w:ascii="Times New Roman" w:eastAsia="Calibri" w:hAnsi="Times New Roman" w:cs="Times New Roman"/>
          <w:sz w:val="24"/>
          <w:szCs w:val="24"/>
          <w:lang w:val="fr-BE"/>
        </w:rPr>
        <w:t>du 3 mars 2021 relatif aux</w:t>
      </w:r>
      <w:r w:rsidR="000B26D5" w:rsidRPr="006E005D">
        <w:rPr>
          <w:rFonts w:ascii="Times New Roman" w:eastAsia="Calibri" w:hAnsi="Times New Roman" w:cs="Times New Roman"/>
          <w:sz w:val="24"/>
          <w:szCs w:val="24"/>
          <w:lang w:val="fr-BE"/>
        </w:rPr>
        <w:t xml:space="preserve"> </w:t>
      </w:r>
      <w:r w:rsidR="000B26D5">
        <w:rPr>
          <w:rFonts w:ascii="Times New Roman" w:eastAsia="Calibri" w:hAnsi="Times New Roman" w:cs="Times New Roman"/>
          <w:sz w:val="24"/>
          <w:szCs w:val="24"/>
          <w:lang w:val="fr-BE"/>
        </w:rPr>
        <w:t>s</w:t>
      </w:r>
      <w:r w:rsidRPr="006E005D">
        <w:rPr>
          <w:rFonts w:ascii="Times New Roman" w:eastAsia="Calibri" w:hAnsi="Times New Roman" w:cs="Times New Roman"/>
          <w:sz w:val="24"/>
          <w:szCs w:val="24"/>
          <w:lang w:val="fr-BE"/>
        </w:rPr>
        <w:t>ociétés contrôlées par les pouvoirs publics – Nouvelle obligation relative à la publication d’un rapport de rémunération – remplacement de l’avis 2018/01</w:t>
      </w:r>
    </w:p>
    <w:p w14:paraId="1A1D01B9" w14:textId="77777777" w:rsidR="006E005D" w:rsidRDefault="006E005D" w:rsidP="006E005D">
      <w:pPr>
        <w:pStyle w:val="ListParagraph"/>
        <w:spacing w:after="0" w:line="240" w:lineRule="auto"/>
        <w:contextualSpacing w:val="0"/>
        <w:jc w:val="both"/>
        <w:rPr>
          <w:rFonts w:ascii="Times New Roman" w:eastAsia="Calibri" w:hAnsi="Times New Roman" w:cs="Times New Roman"/>
          <w:sz w:val="24"/>
          <w:szCs w:val="24"/>
          <w:lang w:val="fr-BE"/>
        </w:rPr>
      </w:pPr>
    </w:p>
    <w:p w14:paraId="153E7BBD" w14:textId="161A07BE" w:rsidR="00DB6AF2" w:rsidRDefault="00DB6AF2"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sidRPr="00DB6AF2">
        <w:rPr>
          <w:rFonts w:ascii="Times New Roman" w:eastAsia="Calibri" w:hAnsi="Times New Roman" w:cs="Times New Roman"/>
          <w:sz w:val="24"/>
          <w:szCs w:val="24"/>
          <w:lang w:val="fr-BE"/>
        </w:rPr>
        <w:t xml:space="preserve">Avis 2020/03 </w:t>
      </w:r>
      <w:r>
        <w:rPr>
          <w:rFonts w:ascii="Times New Roman" w:eastAsia="Calibri" w:hAnsi="Times New Roman" w:cs="Times New Roman"/>
          <w:sz w:val="24"/>
          <w:szCs w:val="24"/>
          <w:lang w:val="fr-BE"/>
        </w:rPr>
        <w:t>du 8 décembre 2020 relatif à</w:t>
      </w:r>
      <w:r w:rsidRPr="00DB6AF2">
        <w:rPr>
          <w:rFonts w:ascii="Times New Roman" w:eastAsia="Calibri" w:hAnsi="Times New Roman" w:cs="Times New Roman"/>
          <w:sz w:val="24"/>
          <w:szCs w:val="24"/>
          <w:lang w:val="fr-BE"/>
        </w:rPr>
        <w:t xml:space="preserve"> </w:t>
      </w:r>
      <w:r>
        <w:rPr>
          <w:rFonts w:ascii="Times New Roman" w:eastAsia="Calibri" w:hAnsi="Times New Roman" w:cs="Times New Roman"/>
          <w:sz w:val="24"/>
          <w:szCs w:val="24"/>
          <w:lang w:val="fr-BE"/>
        </w:rPr>
        <w:t>l’i</w:t>
      </w:r>
      <w:r w:rsidRPr="00DB6AF2">
        <w:rPr>
          <w:rFonts w:ascii="Times New Roman" w:eastAsia="Calibri" w:hAnsi="Times New Roman" w:cs="Times New Roman"/>
          <w:sz w:val="24"/>
          <w:szCs w:val="24"/>
          <w:lang w:val="fr-BE"/>
        </w:rPr>
        <w:t>mpact du COVID-19 sur l'audit de l'exercice 2020 - points clés</w:t>
      </w:r>
    </w:p>
    <w:p w14:paraId="1E1E1FC1" w14:textId="77777777" w:rsidR="00DB6AF2" w:rsidRDefault="00DB6AF2" w:rsidP="00EC75D2">
      <w:pPr>
        <w:pStyle w:val="ListParagraph"/>
        <w:spacing w:after="0" w:line="240" w:lineRule="auto"/>
        <w:contextualSpacing w:val="0"/>
        <w:jc w:val="both"/>
        <w:rPr>
          <w:rFonts w:ascii="Times New Roman" w:eastAsia="Calibri" w:hAnsi="Times New Roman" w:cs="Times New Roman"/>
          <w:sz w:val="24"/>
          <w:szCs w:val="24"/>
          <w:lang w:val="fr-BE"/>
        </w:rPr>
      </w:pPr>
    </w:p>
    <w:p w14:paraId="249CEF5E" w14:textId="12CE73D5" w:rsidR="00450164" w:rsidRDefault="00450164"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Avis 2019/15 du 18 décembre 2019</w:t>
      </w:r>
      <w:r w:rsidR="00393477">
        <w:rPr>
          <w:rFonts w:ascii="Times New Roman" w:eastAsia="Calibri" w:hAnsi="Times New Roman" w:cs="Times New Roman"/>
          <w:sz w:val="24"/>
          <w:szCs w:val="24"/>
          <w:lang w:val="fr-BE"/>
        </w:rPr>
        <w:t xml:space="preserve"> relatif </w:t>
      </w:r>
      <w:r w:rsidR="000928E5">
        <w:rPr>
          <w:rFonts w:ascii="Times New Roman" w:eastAsia="Calibri" w:hAnsi="Times New Roman" w:cs="Times New Roman"/>
          <w:sz w:val="24"/>
          <w:szCs w:val="24"/>
          <w:lang w:val="fr-BE"/>
        </w:rPr>
        <w:t>à l’o</w:t>
      </w:r>
      <w:r w:rsidR="000928E5" w:rsidRPr="000928E5">
        <w:rPr>
          <w:rFonts w:ascii="Times New Roman" w:eastAsia="Calibri" w:hAnsi="Times New Roman" w:cs="Times New Roman"/>
          <w:sz w:val="24"/>
          <w:szCs w:val="24"/>
          <w:lang w:val="fr-BE"/>
        </w:rPr>
        <w:t>bligation de rédiger un rapport de gestion dans les grandes A(I)SBL et Fondations - rapport du commissaire y relatif</w:t>
      </w:r>
    </w:p>
    <w:p w14:paraId="249CEF5F" w14:textId="77777777" w:rsidR="000928E5" w:rsidRDefault="000928E5" w:rsidP="00EC75D2">
      <w:pPr>
        <w:pStyle w:val="ListParagraph"/>
        <w:spacing w:after="0" w:line="240" w:lineRule="auto"/>
        <w:contextualSpacing w:val="0"/>
        <w:jc w:val="both"/>
        <w:rPr>
          <w:rFonts w:ascii="Times New Roman" w:eastAsia="Calibri" w:hAnsi="Times New Roman" w:cs="Times New Roman"/>
          <w:sz w:val="24"/>
          <w:szCs w:val="24"/>
          <w:lang w:val="fr-BE"/>
        </w:rPr>
      </w:pPr>
    </w:p>
    <w:p w14:paraId="249CEF60" w14:textId="77777777" w:rsidR="00450164" w:rsidRDefault="00450164"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Avis 2019/14 du 16 décembre 2019</w:t>
      </w:r>
      <w:r w:rsidR="000928E5">
        <w:rPr>
          <w:rFonts w:ascii="Times New Roman" w:eastAsia="Calibri" w:hAnsi="Times New Roman" w:cs="Times New Roman"/>
          <w:sz w:val="24"/>
          <w:szCs w:val="24"/>
          <w:lang w:val="fr-BE"/>
        </w:rPr>
        <w:t xml:space="preserve"> relatif aux r</w:t>
      </w:r>
      <w:r w:rsidR="000928E5" w:rsidRPr="000928E5">
        <w:rPr>
          <w:rFonts w:ascii="Times New Roman" w:eastAsia="Calibri" w:hAnsi="Times New Roman" w:cs="Times New Roman"/>
          <w:sz w:val="24"/>
          <w:szCs w:val="24"/>
          <w:lang w:val="fr-BE"/>
        </w:rPr>
        <w:t>apports de commissaire émis à partir du 1er janvier 2020 (régime transitoire)</w:t>
      </w:r>
    </w:p>
    <w:p w14:paraId="249CEF61" w14:textId="77777777" w:rsidR="000928E5" w:rsidRPr="000928E5" w:rsidRDefault="000928E5" w:rsidP="00EC75D2">
      <w:pPr>
        <w:pStyle w:val="ListParagraph"/>
        <w:spacing w:after="0" w:line="240" w:lineRule="auto"/>
        <w:contextualSpacing w:val="0"/>
        <w:rPr>
          <w:rFonts w:ascii="Times New Roman" w:eastAsia="Calibri" w:hAnsi="Times New Roman" w:cs="Times New Roman"/>
          <w:sz w:val="24"/>
          <w:szCs w:val="24"/>
          <w:lang w:val="fr-BE"/>
        </w:rPr>
      </w:pPr>
    </w:p>
    <w:p w14:paraId="249CEF62" w14:textId="77777777" w:rsidR="000928E5" w:rsidRDefault="00450164"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 xml:space="preserve">Avis 2019/10 du 9 avril 2019 </w:t>
      </w:r>
      <w:r w:rsidR="000928E5">
        <w:rPr>
          <w:rFonts w:ascii="Times New Roman" w:eastAsia="Calibri" w:hAnsi="Times New Roman" w:cs="Times New Roman"/>
          <w:sz w:val="24"/>
          <w:szCs w:val="24"/>
          <w:lang w:val="fr-BE"/>
        </w:rPr>
        <w:t>relatif à l’</w:t>
      </w:r>
      <w:r w:rsidR="000928E5" w:rsidRPr="00ED6CB0">
        <w:rPr>
          <w:lang w:val="fr-FR"/>
        </w:rPr>
        <w:t>i</w:t>
      </w:r>
      <w:r w:rsidR="000928E5" w:rsidRPr="000928E5">
        <w:rPr>
          <w:rFonts w:ascii="Times New Roman" w:eastAsia="Calibri" w:hAnsi="Times New Roman" w:cs="Times New Roman"/>
          <w:sz w:val="24"/>
          <w:szCs w:val="24"/>
          <w:lang w:val="fr-BE"/>
        </w:rPr>
        <w:t>nterruption du mandat de commissaire</w:t>
      </w:r>
    </w:p>
    <w:p w14:paraId="249CEF63" w14:textId="77777777" w:rsidR="000928E5" w:rsidRPr="000928E5" w:rsidRDefault="000928E5" w:rsidP="00EC75D2">
      <w:pPr>
        <w:pStyle w:val="ListParagraph"/>
        <w:spacing w:after="0" w:line="240" w:lineRule="auto"/>
        <w:contextualSpacing w:val="0"/>
        <w:rPr>
          <w:rFonts w:ascii="Times New Roman" w:eastAsia="Calibri" w:hAnsi="Times New Roman" w:cs="Times New Roman"/>
          <w:sz w:val="24"/>
          <w:szCs w:val="24"/>
          <w:lang w:val="fr-BE"/>
        </w:rPr>
      </w:pPr>
    </w:p>
    <w:p w14:paraId="249CEF64" w14:textId="77777777" w:rsidR="003D34D0" w:rsidRDefault="003D34D0"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Avis 2019/09 du 28 mars 2019 relatif au remplacement de la Circulaire D021/10 relative à la date de la lettre d’affirmation</w:t>
      </w:r>
    </w:p>
    <w:p w14:paraId="249CEF65" w14:textId="77777777" w:rsidR="003D34D0" w:rsidRDefault="003D34D0" w:rsidP="00EC75D2">
      <w:pPr>
        <w:pStyle w:val="ListParagraph"/>
        <w:spacing w:after="0" w:line="240" w:lineRule="auto"/>
        <w:contextualSpacing w:val="0"/>
        <w:jc w:val="both"/>
        <w:rPr>
          <w:rFonts w:ascii="Times New Roman" w:eastAsia="Calibri" w:hAnsi="Times New Roman" w:cs="Times New Roman"/>
          <w:sz w:val="24"/>
          <w:szCs w:val="24"/>
          <w:lang w:val="fr-BE"/>
        </w:rPr>
      </w:pPr>
    </w:p>
    <w:p w14:paraId="249CEF66" w14:textId="77777777" w:rsidR="003D34D0" w:rsidRDefault="003D34D0"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Avis 2019/06 du 15 mars 2019 relatif à l’application non automatique de l’art. 138 C. Soc. en cas de diminution de l’actif net à moins de la moitié du capital</w:t>
      </w:r>
    </w:p>
    <w:p w14:paraId="249CEF67" w14:textId="77777777" w:rsidR="003D34D0" w:rsidRPr="00450164" w:rsidRDefault="003D34D0" w:rsidP="00EC75D2">
      <w:pPr>
        <w:pStyle w:val="ListParagraph"/>
        <w:spacing w:after="0" w:line="240" w:lineRule="auto"/>
        <w:contextualSpacing w:val="0"/>
        <w:rPr>
          <w:rFonts w:ascii="Times New Roman" w:eastAsia="Calibri" w:hAnsi="Times New Roman" w:cs="Times New Roman"/>
          <w:sz w:val="24"/>
          <w:szCs w:val="24"/>
          <w:lang w:val="fr-BE"/>
        </w:rPr>
      </w:pPr>
    </w:p>
    <w:p w14:paraId="249CEF68" w14:textId="77777777" w:rsidR="003D34D0" w:rsidRDefault="003D34D0"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Avis 2019/03 du 15 février 2019 relatif à l’impact du Brexit sur le rapport du commissaire</w:t>
      </w:r>
    </w:p>
    <w:p w14:paraId="249CEF69" w14:textId="77777777" w:rsidR="003D34D0" w:rsidRPr="00450164" w:rsidRDefault="003D34D0" w:rsidP="00EC75D2">
      <w:pPr>
        <w:pStyle w:val="ListParagraph"/>
        <w:spacing w:after="0" w:line="240" w:lineRule="auto"/>
        <w:contextualSpacing w:val="0"/>
        <w:rPr>
          <w:rFonts w:ascii="Times New Roman" w:eastAsia="Calibri" w:hAnsi="Times New Roman" w:cs="Times New Roman"/>
          <w:sz w:val="24"/>
          <w:szCs w:val="24"/>
          <w:lang w:val="fr-BE"/>
        </w:rPr>
      </w:pPr>
    </w:p>
    <w:p w14:paraId="249CEF6A" w14:textId="77777777" w:rsidR="003D34D0" w:rsidRDefault="003D34D0"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Avis 2019/02 du 31 janvier 2019 relatif à la vérification du registre UBO – mission du commissaire et impact sur le rapport du commissaire</w:t>
      </w:r>
    </w:p>
    <w:p w14:paraId="249CEF6B" w14:textId="77777777" w:rsidR="003D34D0" w:rsidRPr="00450164" w:rsidRDefault="003D34D0" w:rsidP="00EC75D2">
      <w:pPr>
        <w:pStyle w:val="ListParagraph"/>
        <w:spacing w:after="0" w:line="240" w:lineRule="auto"/>
        <w:contextualSpacing w:val="0"/>
        <w:rPr>
          <w:rFonts w:ascii="Times New Roman" w:eastAsia="Calibri" w:hAnsi="Times New Roman" w:cs="Times New Roman"/>
          <w:sz w:val="24"/>
          <w:szCs w:val="24"/>
          <w:lang w:val="fr-BE"/>
        </w:rPr>
      </w:pPr>
    </w:p>
    <w:p w14:paraId="249CEF6E" w14:textId="77777777" w:rsidR="00F2489C" w:rsidRDefault="00F2489C"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 xml:space="preserve">Avis 2017/06 </w:t>
      </w:r>
      <w:r w:rsidR="005B706B">
        <w:rPr>
          <w:rFonts w:ascii="Times New Roman" w:eastAsia="Calibri" w:hAnsi="Times New Roman" w:cs="Times New Roman"/>
          <w:sz w:val="24"/>
          <w:szCs w:val="24"/>
          <w:lang w:val="fr-BE"/>
        </w:rPr>
        <w:t xml:space="preserve">du 6 octobre 2017 </w:t>
      </w:r>
      <w:r>
        <w:rPr>
          <w:rFonts w:ascii="Times New Roman" w:eastAsia="Calibri" w:hAnsi="Times New Roman" w:cs="Times New Roman"/>
          <w:sz w:val="24"/>
          <w:szCs w:val="24"/>
          <w:lang w:val="fr-BE"/>
        </w:rPr>
        <w:t xml:space="preserve">relatif au </w:t>
      </w:r>
      <w:r w:rsidRPr="00F2489C">
        <w:rPr>
          <w:rFonts w:ascii="Times New Roman" w:eastAsia="Calibri" w:hAnsi="Times New Roman" w:cs="Times New Roman"/>
          <w:sz w:val="24"/>
          <w:szCs w:val="24"/>
          <w:lang w:val="fr-BE"/>
        </w:rPr>
        <w:t>projet de norme relative à l'application des normes ISA (la nouvelle et les révisées) en Belgique - état des lieux et retrait de l'avis 2017/03</w:t>
      </w:r>
    </w:p>
    <w:p w14:paraId="249CEF6F" w14:textId="77777777" w:rsidR="00F2489C" w:rsidRDefault="00F2489C" w:rsidP="00EC75D2">
      <w:pPr>
        <w:pStyle w:val="ListParagraph"/>
        <w:spacing w:after="0" w:line="240" w:lineRule="auto"/>
        <w:contextualSpacing w:val="0"/>
        <w:jc w:val="both"/>
        <w:rPr>
          <w:rFonts w:ascii="Times New Roman" w:eastAsia="Calibri" w:hAnsi="Times New Roman" w:cs="Times New Roman"/>
          <w:sz w:val="24"/>
          <w:szCs w:val="24"/>
          <w:lang w:val="fr-BE"/>
        </w:rPr>
      </w:pPr>
    </w:p>
    <w:p w14:paraId="249CEF70" w14:textId="77777777" w:rsidR="00F2489C" w:rsidRDefault="00F2489C"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lastRenderedPageBreak/>
        <w:t>Avis 2017/04 du 8 septembre 2017 relatif au r</w:t>
      </w:r>
      <w:r w:rsidRPr="00F2489C">
        <w:rPr>
          <w:rFonts w:ascii="Times New Roman" w:eastAsia="Calibri" w:hAnsi="Times New Roman" w:cs="Times New Roman"/>
          <w:sz w:val="24"/>
          <w:szCs w:val="24"/>
          <w:lang w:val="fr-BE"/>
        </w:rPr>
        <w:t>apport du commissaire - Portée de la déclaration sur d’éventuelles incertitudes significatives liées à des événements ou à des circonstances qui peuvent jeter un doute important sur la capacité de la société à poursuivre son exploitation (art. 144, §1, 7° C. Soc.)</w:t>
      </w:r>
    </w:p>
    <w:p w14:paraId="249CEF71" w14:textId="77777777" w:rsidR="00F2489C" w:rsidRDefault="00F2489C" w:rsidP="00EC75D2">
      <w:pPr>
        <w:pStyle w:val="ListParagraph"/>
        <w:spacing w:after="0" w:line="240" w:lineRule="auto"/>
        <w:contextualSpacing w:val="0"/>
        <w:jc w:val="both"/>
        <w:rPr>
          <w:rFonts w:ascii="Times New Roman" w:eastAsia="Calibri" w:hAnsi="Times New Roman" w:cs="Times New Roman"/>
          <w:sz w:val="24"/>
          <w:szCs w:val="24"/>
          <w:lang w:val="fr-BE"/>
        </w:rPr>
      </w:pPr>
    </w:p>
    <w:p w14:paraId="249CEF72" w14:textId="77777777" w:rsidR="008161A0" w:rsidRDefault="008161A0"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Avis 2017/02 du 2 mars 2017 relatif aux r</w:t>
      </w:r>
      <w:r w:rsidRPr="008161A0">
        <w:rPr>
          <w:rFonts w:ascii="Times New Roman" w:eastAsia="Calibri" w:hAnsi="Times New Roman" w:cs="Times New Roman"/>
          <w:sz w:val="24"/>
          <w:szCs w:val="24"/>
          <w:lang w:val="fr-BE"/>
        </w:rPr>
        <w:t>ègles applicables au rapport de commissaire relatif à l'exercice 2016</w:t>
      </w:r>
    </w:p>
    <w:p w14:paraId="249CEF73" w14:textId="77777777" w:rsidR="008161A0" w:rsidRDefault="008161A0" w:rsidP="00EC75D2">
      <w:pPr>
        <w:pStyle w:val="ListParagraph"/>
        <w:spacing w:after="0" w:line="240" w:lineRule="auto"/>
        <w:contextualSpacing w:val="0"/>
        <w:jc w:val="both"/>
        <w:rPr>
          <w:rFonts w:ascii="Times New Roman" w:eastAsia="Calibri" w:hAnsi="Times New Roman" w:cs="Times New Roman"/>
          <w:sz w:val="24"/>
          <w:szCs w:val="24"/>
          <w:lang w:val="fr-BE"/>
        </w:rPr>
      </w:pPr>
    </w:p>
    <w:p w14:paraId="249CEF74" w14:textId="77777777" w:rsidR="008161A0" w:rsidRDefault="008161A0"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Avis 2017/01 du 19 janvier 2017 relatif au r</w:t>
      </w:r>
      <w:r w:rsidRPr="008161A0">
        <w:rPr>
          <w:rFonts w:ascii="Times New Roman" w:eastAsia="Calibri" w:hAnsi="Times New Roman" w:cs="Times New Roman"/>
          <w:sz w:val="24"/>
          <w:szCs w:val="24"/>
          <w:lang w:val="fr-BE"/>
        </w:rPr>
        <w:t>apport du commissaire</w:t>
      </w:r>
    </w:p>
    <w:p w14:paraId="249CEF75" w14:textId="77777777" w:rsidR="008161A0" w:rsidRDefault="008161A0" w:rsidP="00EC75D2">
      <w:pPr>
        <w:pStyle w:val="ListParagraph"/>
        <w:spacing w:after="0" w:line="240" w:lineRule="auto"/>
        <w:contextualSpacing w:val="0"/>
        <w:jc w:val="both"/>
        <w:rPr>
          <w:rFonts w:ascii="Times New Roman" w:eastAsia="Calibri" w:hAnsi="Times New Roman" w:cs="Times New Roman"/>
          <w:sz w:val="24"/>
          <w:szCs w:val="24"/>
          <w:lang w:val="fr-BE"/>
        </w:rPr>
      </w:pPr>
    </w:p>
    <w:p w14:paraId="249CEF78" w14:textId="77777777" w:rsidR="00D914E0" w:rsidRDefault="00D914E0"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sidRPr="00800C21">
        <w:rPr>
          <w:rFonts w:ascii="Times New Roman" w:eastAsia="Calibri" w:hAnsi="Times New Roman" w:cs="Times New Roman"/>
          <w:sz w:val="24"/>
          <w:szCs w:val="24"/>
          <w:lang w:val="fr-BE"/>
        </w:rPr>
        <w:t>Avis du 5 mars 2010, modifié le 29 octobre 2010, relatif à la mission du commissaire concernant le nouvel état XVIIIbis de l</w:t>
      </w:r>
      <w:r w:rsidR="001E138C">
        <w:rPr>
          <w:rFonts w:ascii="Times New Roman" w:eastAsia="Calibri" w:hAnsi="Times New Roman" w:cs="Times New Roman"/>
          <w:sz w:val="24"/>
          <w:szCs w:val="24"/>
          <w:lang w:val="fr-BE"/>
        </w:rPr>
        <w:t>’</w:t>
      </w:r>
      <w:r w:rsidRPr="00800C21">
        <w:rPr>
          <w:rFonts w:ascii="Times New Roman" w:eastAsia="Calibri" w:hAnsi="Times New Roman" w:cs="Times New Roman"/>
          <w:sz w:val="24"/>
          <w:szCs w:val="24"/>
          <w:lang w:val="fr-BE"/>
        </w:rPr>
        <w:t>annexe aux comptes annuels</w:t>
      </w:r>
    </w:p>
    <w:p w14:paraId="249CEF79" w14:textId="77777777" w:rsidR="00D914E0" w:rsidRDefault="00D914E0" w:rsidP="00EC75D2">
      <w:pPr>
        <w:pStyle w:val="ListParagraph"/>
        <w:spacing w:after="0" w:line="240" w:lineRule="auto"/>
        <w:contextualSpacing w:val="0"/>
        <w:jc w:val="both"/>
        <w:rPr>
          <w:rFonts w:ascii="Times New Roman" w:eastAsia="Calibri" w:hAnsi="Times New Roman" w:cs="Times New Roman"/>
          <w:sz w:val="24"/>
          <w:szCs w:val="24"/>
          <w:lang w:val="fr-BE"/>
        </w:rPr>
      </w:pPr>
    </w:p>
    <w:p w14:paraId="249CEF7A" w14:textId="77777777" w:rsidR="00D914E0" w:rsidRDefault="00D914E0"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A</w:t>
      </w:r>
      <w:r w:rsidRPr="00800C21">
        <w:rPr>
          <w:rFonts w:ascii="Times New Roman" w:eastAsia="Calibri" w:hAnsi="Times New Roman" w:cs="Times New Roman"/>
          <w:sz w:val="24"/>
          <w:szCs w:val="24"/>
          <w:lang w:val="fr-BE"/>
        </w:rPr>
        <w:t>vis du 20 juillet 2010 relatif au cadre normatif actuel et futur de l</w:t>
      </w:r>
      <w:r w:rsidR="001E138C">
        <w:rPr>
          <w:rFonts w:ascii="Times New Roman" w:eastAsia="Calibri" w:hAnsi="Times New Roman" w:cs="Times New Roman"/>
          <w:sz w:val="24"/>
          <w:szCs w:val="24"/>
          <w:lang w:val="fr-BE"/>
        </w:rPr>
        <w:t>’</w:t>
      </w:r>
      <w:r w:rsidRPr="00800C21">
        <w:rPr>
          <w:rFonts w:ascii="Times New Roman" w:eastAsia="Calibri" w:hAnsi="Times New Roman" w:cs="Times New Roman"/>
          <w:sz w:val="24"/>
          <w:szCs w:val="24"/>
          <w:lang w:val="fr-BE"/>
        </w:rPr>
        <w:t>IRE</w:t>
      </w:r>
    </w:p>
    <w:p w14:paraId="249CEF7D" w14:textId="77777777" w:rsidR="008161A0" w:rsidRDefault="008161A0" w:rsidP="00EC75D2">
      <w:pPr>
        <w:pStyle w:val="ListParagraph"/>
        <w:spacing w:after="0" w:line="240" w:lineRule="auto"/>
        <w:contextualSpacing w:val="0"/>
        <w:jc w:val="both"/>
        <w:rPr>
          <w:rFonts w:ascii="Times New Roman" w:eastAsia="Calibri" w:hAnsi="Times New Roman" w:cs="Times New Roman"/>
          <w:sz w:val="24"/>
          <w:szCs w:val="24"/>
          <w:lang w:val="fr-BE"/>
        </w:rPr>
      </w:pPr>
    </w:p>
    <w:p w14:paraId="249CEF7E" w14:textId="77777777" w:rsidR="00D914E0" w:rsidRDefault="00D914E0"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Circulaire 2013/05 du 16 avril 2013 relative à</w:t>
      </w:r>
      <w:r w:rsidRPr="00DA2EF8">
        <w:rPr>
          <w:rFonts w:ascii="Times New Roman" w:eastAsia="Calibri" w:hAnsi="Times New Roman" w:cs="Times New Roman"/>
          <w:sz w:val="24"/>
          <w:szCs w:val="24"/>
          <w:lang w:val="fr-BE"/>
        </w:rPr>
        <w:t xml:space="preserve"> </w:t>
      </w:r>
      <w:r>
        <w:rPr>
          <w:rFonts w:ascii="Times New Roman" w:eastAsia="Calibri" w:hAnsi="Times New Roman" w:cs="Times New Roman"/>
          <w:sz w:val="24"/>
          <w:szCs w:val="24"/>
          <w:lang w:val="fr-BE"/>
        </w:rPr>
        <w:t>l</w:t>
      </w:r>
      <w:r w:rsidR="001E138C">
        <w:rPr>
          <w:rFonts w:ascii="Times New Roman" w:eastAsia="Calibri" w:hAnsi="Times New Roman" w:cs="Times New Roman"/>
          <w:sz w:val="24"/>
          <w:szCs w:val="24"/>
          <w:lang w:val="fr-BE"/>
        </w:rPr>
        <w:t>’</w:t>
      </w:r>
      <w:r>
        <w:rPr>
          <w:rFonts w:ascii="Times New Roman" w:eastAsia="Calibri" w:hAnsi="Times New Roman" w:cs="Times New Roman"/>
          <w:sz w:val="24"/>
          <w:szCs w:val="24"/>
          <w:lang w:val="fr-BE"/>
        </w:rPr>
        <w:t>a</w:t>
      </w:r>
      <w:r w:rsidRPr="00DA2EF8">
        <w:rPr>
          <w:rFonts w:ascii="Times New Roman" w:eastAsia="Calibri" w:hAnsi="Times New Roman" w:cs="Times New Roman"/>
          <w:sz w:val="24"/>
          <w:szCs w:val="24"/>
          <w:lang w:val="fr-BE"/>
        </w:rPr>
        <w:t>pplication des normes ISA proportionnellement à la taille et à la complexité de l</w:t>
      </w:r>
      <w:r w:rsidR="001E138C">
        <w:rPr>
          <w:rFonts w:ascii="Times New Roman" w:eastAsia="Calibri" w:hAnsi="Times New Roman" w:cs="Times New Roman"/>
          <w:sz w:val="24"/>
          <w:szCs w:val="24"/>
          <w:lang w:val="fr-BE"/>
        </w:rPr>
        <w:t>’</w:t>
      </w:r>
      <w:r w:rsidRPr="00DA2EF8">
        <w:rPr>
          <w:rFonts w:ascii="Times New Roman" w:eastAsia="Calibri" w:hAnsi="Times New Roman" w:cs="Times New Roman"/>
          <w:sz w:val="24"/>
          <w:szCs w:val="24"/>
          <w:lang w:val="fr-BE"/>
        </w:rPr>
        <w:t>entité (</w:t>
      </w:r>
      <w:r w:rsidR="00F474C6">
        <w:rPr>
          <w:rFonts w:ascii="Times New Roman" w:eastAsia="Calibri" w:hAnsi="Times New Roman" w:cs="Times New Roman"/>
          <w:sz w:val="24"/>
          <w:szCs w:val="24"/>
          <w:lang w:val="fr-BE"/>
        </w:rPr>
        <w:t>« </w:t>
      </w:r>
      <w:r w:rsidRPr="00F474C6">
        <w:rPr>
          <w:rFonts w:ascii="Times New Roman" w:eastAsia="Calibri" w:hAnsi="Times New Roman" w:cs="Times New Roman"/>
          <w:i/>
          <w:sz w:val="24"/>
          <w:szCs w:val="24"/>
          <w:lang w:val="fr-BE"/>
        </w:rPr>
        <w:t>scalability</w:t>
      </w:r>
      <w:r w:rsidR="00F474C6">
        <w:rPr>
          <w:rFonts w:ascii="Times New Roman" w:eastAsia="Calibri" w:hAnsi="Times New Roman" w:cs="Times New Roman"/>
          <w:sz w:val="24"/>
          <w:szCs w:val="24"/>
          <w:lang w:val="fr-BE"/>
        </w:rPr>
        <w:t> »</w:t>
      </w:r>
      <w:r w:rsidRPr="00DA2EF8">
        <w:rPr>
          <w:rFonts w:ascii="Times New Roman" w:eastAsia="Calibri" w:hAnsi="Times New Roman" w:cs="Times New Roman"/>
          <w:sz w:val="24"/>
          <w:szCs w:val="24"/>
          <w:lang w:val="fr-BE"/>
        </w:rPr>
        <w:t xml:space="preserve"> des normes ISA)</w:t>
      </w:r>
    </w:p>
    <w:p w14:paraId="249CEF7F" w14:textId="77777777" w:rsidR="00D914E0" w:rsidRPr="003F4C5D" w:rsidRDefault="00D914E0" w:rsidP="00EC75D2">
      <w:pPr>
        <w:pStyle w:val="ListParagraph"/>
        <w:spacing w:after="0" w:line="240" w:lineRule="auto"/>
        <w:contextualSpacing w:val="0"/>
        <w:rPr>
          <w:rFonts w:ascii="Times New Roman" w:eastAsia="Calibri" w:hAnsi="Times New Roman" w:cs="Times New Roman"/>
          <w:sz w:val="24"/>
          <w:szCs w:val="24"/>
          <w:lang w:val="fr-BE"/>
        </w:rPr>
      </w:pPr>
    </w:p>
    <w:p w14:paraId="1EB83378" w14:textId="77D1EF6E" w:rsidR="00CA39E7" w:rsidRDefault="008D40A0"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Communication 2022/09 du 5 septembre 2022 relative à la c</w:t>
      </w:r>
      <w:r w:rsidRPr="008D40A0">
        <w:rPr>
          <w:rFonts w:ascii="Times New Roman" w:eastAsia="Calibri" w:hAnsi="Times New Roman" w:cs="Times New Roman"/>
          <w:sz w:val="24"/>
          <w:szCs w:val="24"/>
          <w:lang w:val="fr-BE"/>
        </w:rPr>
        <w:t>onsultation publique sur le projet de norme relative à l’application des normes ISA 250 (Révisée), 315 (Révisée 2019) et 540 (Révisée) en Belgique</w:t>
      </w:r>
    </w:p>
    <w:p w14:paraId="1B9B4103" w14:textId="77777777" w:rsidR="00CA39E7" w:rsidRPr="00CA39E7" w:rsidRDefault="00CA39E7" w:rsidP="00CA39E7">
      <w:pPr>
        <w:pStyle w:val="ListParagraph"/>
        <w:rPr>
          <w:rFonts w:ascii="Times New Roman" w:eastAsia="Calibri" w:hAnsi="Times New Roman" w:cs="Times New Roman"/>
          <w:sz w:val="24"/>
          <w:szCs w:val="24"/>
          <w:lang w:val="fr-BE"/>
        </w:rPr>
      </w:pPr>
    </w:p>
    <w:p w14:paraId="5349AD49" w14:textId="192C86B4" w:rsidR="008D40A0" w:rsidRDefault="008D40A0"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Communication 2021/19 du 1</w:t>
      </w:r>
      <w:r w:rsidRPr="008D40A0">
        <w:rPr>
          <w:rFonts w:ascii="Times New Roman" w:eastAsia="Calibri" w:hAnsi="Times New Roman" w:cs="Times New Roman"/>
          <w:sz w:val="24"/>
          <w:szCs w:val="24"/>
          <w:vertAlign w:val="superscript"/>
          <w:lang w:val="fr-BE"/>
        </w:rPr>
        <w:t>er</w:t>
      </w:r>
      <w:r>
        <w:rPr>
          <w:rFonts w:ascii="Times New Roman" w:eastAsia="Calibri" w:hAnsi="Times New Roman" w:cs="Times New Roman"/>
          <w:sz w:val="24"/>
          <w:szCs w:val="24"/>
          <w:lang w:val="fr-BE"/>
        </w:rPr>
        <w:t xml:space="preserve"> décembre 2021 relative à la </w:t>
      </w:r>
      <w:r w:rsidR="00BD4A1C">
        <w:rPr>
          <w:rFonts w:ascii="Times New Roman" w:eastAsia="Calibri" w:hAnsi="Times New Roman" w:cs="Times New Roman"/>
          <w:sz w:val="24"/>
          <w:szCs w:val="24"/>
          <w:lang w:val="fr-BE"/>
        </w:rPr>
        <w:t>c</w:t>
      </w:r>
      <w:r w:rsidR="00BD4A1C" w:rsidRPr="00BD4A1C">
        <w:rPr>
          <w:rFonts w:ascii="Times New Roman" w:eastAsia="Calibri" w:hAnsi="Times New Roman" w:cs="Times New Roman"/>
          <w:sz w:val="24"/>
          <w:szCs w:val="24"/>
          <w:lang w:val="fr-BE"/>
        </w:rPr>
        <w:t>onsultation publique sur les projets de norme Conseil d'entreprise, ESEF, ISAE 3000 et ISAE 3400 et le projet de norme révisant la norme complémentaire (version révisée 2020) aux normes ISA applicable en Belgique</w:t>
      </w:r>
    </w:p>
    <w:p w14:paraId="4C899A38" w14:textId="77777777" w:rsidR="008D40A0" w:rsidRPr="008D40A0" w:rsidRDefault="008D40A0" w:rsidP="008D40A0">
      <w:pPr>
        <w:pStyle w:val="ListParagraph"/>
        <w:rPr>
          <w:rFonts w:ascii="Times New Roman" w:eastAsia="Calibri" w:hAnsi="Times New Roman" w:cs="Times New Roman"/>
          <w:sz w:val="24"/>
          <w:szCs w:val="24"/>
          <w:lang w:val="fr-BE"/>
        </w:rPr>
      </w:pPr>
    </w:p>
    <w:p w14:paraId="07076D79" w14:textId="58D089F7" w:rsidR="001F7F07" w:rsidRDefault="001F7F07"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sidRPr="001F7F07">
        <w:rPr>
          <w:rFonts w:ascii="Times New Roman" w:eastAsia="Calibri" w:hAnsi="Times New Roman" w:cs="Times New Roman"/>
          <w:sz w:val="24"/>
          <w:szCs w:val="24"/>
          <w:lang w:val="fr-BE"/>
        </w:rPr>
        <w:t>Communication 2020</w:t>
      </w:r>
      <w:r>
        <w:rPr>
          <w:rFonts w:ascii="Times New Roman" w:eastAsia="Calibri" w:hAnsi="Times New Roman" w:cs="Times New Roman"/>
          <w:sz w:val="24"/>
          <w:szCs w:val="24"/>
          <w:lang w:val="fr-BE"/>
        </w:rPr>
        <w:t>/</w:t>
      </w:r>
      <w:r w:rsidRPr="001F7F07">
        <w:rPr>
          <w:rFonts w:ascii="Times New Roman" w:eastAsia="Calibri" w:hAnsi="Times New Roman" w:cs="Times New Roman"/>
          <w:sz w:val="24"/>
          <w:szCs w:val="24"/>
          <w:lang w:val="fr-BE"/>
        </w:rPr>
        <w:t xml:space="preserve">23 </w:t>
      </w:r>
      <w:r>
        <w:rPr>
          <w:rFonts w:ascii="Times New Roman" w:eastAsia="Calibri" w:hAnsi="Times New Roman" w:cs="Times New Roman"/>
          <w:sz w:val="24"/>
          <w:szCs w:val="24"/>
          <w:lang w:val="fr-BE"/>
        </w:rPr>
        <w:t>du 1</w:t>
      </w:r>
      <w:r w:rsidRPr="001F7F07">
        <w:rPr>
          <w:rFonts w:ascii="Times New Roman" w:eastAsia="Calibri" w:hAnsi="Times New Roman" w:cs="Times New Roman"/>
          <w:sz w:val="24"/>
          <w:szCs w:val="24"/>
          <w:vertAlign w:val="superscript"/>
          <w:lang w:val="fr-BE"/>
        </w:rPr>
        <w:t>er</w:t>
      </w:r>
      <w:r>
        <w:rPr>
          <w:rFonts w:ascii="Times New Roman" w:eastAsia="Calibri" w:hAnsi="Times New Roman" w:cs="Times New Roman"/>
          <w:sz w:val="24"/>
          <w:szCs w:val="24"/>
          <w:lang w:val="fr-BE"/>
        </w:rPr>
        <w:t xml:space="preserve"> décembre 2020 relative à la c</w:t>
      </w:r>
      <w:r w:rsidRPr="001F7F07">
        <w:rPr>
          <w:rFonts w:ascii="Times New Roman" w:eastAsia="Calibri" w:hAnsi="Times New Roman" w:cs="Times New Roman"/>
          <w:sz w:val="24"/>
          <w:szCs w:val="24"/>
          <w:lang w:val="fr-BE"/>
        </w:rPr>
        <w:t>onsultation publique sur les projets de normes test d'actif net et test de liquidité</w:t>
      </w:r>
    </w:p>
    <w:p w14:paraId="42FF7C12" w14:textId="77777777" w:rsidR="001F7F07" w:rsidRPr="001F7F07" w:rsidRDefault="001F7F07" w:rsidP="00EC75D2">
      <w:pPr>
        <w:pStyle w:val="ListParagraph"/>
        <w:spacing w:after="0" w:line="240" w:lineRule="auto"/>
        <w:contextualSpacing w:val="0"/>
        <w:rPr>
          <w:rFonts w:ascii="Times New Roman" w:eastAsia="Calibri" w:hAnsi="Times New Roman" w:cs="Times New Roman"/>
          <w:sz w:val="24"/>
          <w:szCs w:val="24"/>
          <w:lang w:val="fr-BE"/>
        </w:rPr>
      </w:pPr>
    </w:p>
    <w:p w14:paraId="7934C700" w14:textId="7CF52D82" w:rsidR="00CE0289" w:rsidRDefault="00E9715D"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Communication 2020/15 </w:t>
      </w:r>
      <w:r w:rsidR="00E666D3">
        <w:rPr>
          <w:rFonts w:ascii="Times New Roman" w:eastAsia="Calibri" w:hAnsi="Times New Roman" w:cs="Times New Roman"/>
          <w:sz w:val="24"/>
          <w:szCs w:val="24"/>
          <w:lang w:val="fr-BE"/>
        </w:rPr>
        <w:t>du 10 juillet 2020 relative à la</w:t>
      </w:r>
      <w:r>
        <w:rPr>
          <w:rFonts w:ascii="Times New Roman" w:eastAsia="Calibri" w:hAnsi="Times New Roman" w:cs="Times New Roman"/>
          <w:sz w:val="24"/>
          <w:szCs w:val="24"/>
          <w:lang w:val="fr-BE"/>
        </w:rPr>
        <w:t xml:space="preserve"> </w:t>
      </w:r>
      <w:r w:rsidR="00E666D3">
        <w:rPr>
          <w:rFonts w:ascii="Times New Roman" w:eastAsia="Calibri" w:hAnsi="Times New Roman" w:cs="Times New Roman"/>
          <w:sz w:val="24"/>
          <w:szCs w:val="24"/>
          <w:lang w:val="fr-BE"/>
        </w:rPr>
        <w:t>c</w:t>
      </w:r>
      <w:r w:rsidRPr="00E9715D">
        <w:rPr>
          <w:rFonts w:ascii="Times New Roman" w:eastAsia="Calibri" w:hAnsi="Times New Roman" w:cs="Times New Roman"/>
          <w:sz w:val="24"/>
          <w:szCs w:val="24"/>
          <w:lang w:val="fr-BE"/>
        </w:rPr>
        <w:t>onsultation publique   sur   le   projet   de   norme   complémentaire   (version  révisée  2020)  aux  normes  ISA  applicables  en  Belgique  –adaptation au Code des sociétés et des associations (délai : 15 août 2020)</w:t>
      </w:r>
    </w:p>
    <w:p w14:paraId="78C334A5" w14:textId="77777777" w:rsidR="00CE0289" w:rsidRPr="00CE0289" w:rsidRDefault="00CE0289" w:rsidP="00CE0289">
      <w:pPr>
        <w:pStyle w:val="ListParagraph"/>
        <w:rPr>
          <w:rFonts w:ascii="Times New Roman" w:eastAsia="Calibri" w:hAnsi="Times New Roman" w:cs="Times New Roman"/>
          <w:sz w:val="24"/>
          <w:szCs w:val="24"/>
          <w:lang w:val="fr-BE"/>
        </w:rPr>
      </w:pPr>
    </w:p>
    <w:p w14:paraId="249CEF8A" w14:textId="446887F6" w:rsidR="00393477" w:rsidRDefault="00393477"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Communication 2020/11 du 6 mai 2020 concernant la l</w:t>
      </w:r>
      <w:r w:rsidRPr="00393477">
        <w:rPr>
          <w:rFonts w:ascii="Times New Roman" w:eastAsia="Calibri" w:hAnsi="Times New Roman" w:cs="Times New Roman"/>
          <w:sz w:val="24"/>
          <w:szCs w:val="24"/>
          <w:lang w:val="fr-BE"/>
        </w:rPr>
        <w:t>oi de réparation CSA – rapport de commissaire pour les A(I)SBL et les fondations</w:t>
      </w:r>
    </w:p>
    <w:p w14:paraId="249CEF8B" w14:textId="77777777" w:rsidR="00393477" w:rsidRPr="00393477" w:rsidRDefault="00393477" w:rsidP="00EC75D2">
      <w:pPr>
        <w:pStyle w:val="ListParagraph"/>
        <w:spacing w:after="0" w:line="240" w:lineRule="auto"/>
        <w:contextualSpacing w:val="0"/>
        <w:rPr>
          <w:rFonts w:ascii="Times New Roman" w:eastAsia="Calibri" w:hAnsi="Times New Roman" w:cs="Times New Roman"/>
          <w:sz w:val="24"/>
          <w:szCs w:val="24"/>
          <w:lang w:val="fr-BE"/>
        </w:rPr>
      </w:pPr>
    </w:p>
    <w:p w14:paraId="249CEF8C" w14:textId="77777777" w:rsidR="00393477" w:rsidRDefault="00393477"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Communication 2019/09 du 17 avril 2019 concernant l</w:t>
      </w:r>
      <w:r w:rsidRPr="00393477">
        <w:rPr>
          <w:rFonts w:ascii="Times New Roman" w:eastAsia="Calibri" w:hAnsi="Times New Roman" w:cs="Times New Roman"/>
          <w:sz w:val="24"/>
          <w:szCs w:val="24"/>
          <w:lang w:val="fr-BE"/>
        </w:rPr>
        <w:t>a loi du 23 mars 2019 introduisant le Code des sociétés et des associations et portant des dispositions diverses</w:t>
      </w:r>
    </w:p>
    <w:p w14:paraId="249CEF8D" w14:textId="77777777" w:rsidR="00393477" w:rsidRPr="00393477" w:rsidRDefault="00393477" w:rsidP="00EC75D2">
      <w:pPr>
        <w:pStyle w:val="ListParagraph"/>
        <w:spacing w:after="0" w:line="240" w:lineRule="auto"/>
        <w:contextualSpacing w:val="0"/>
        <w:rPr>
          <w:rFonts w:ascii="Times New Roman" w:eastAsia="Calibri" w:hAnsi="Times New Roman" w:cs="Times New Roman"/>
          <w:sz w:val="24"/>
          <w:szCs w:val="24"/>
          <w:lang w:val="fr-BE"/>
        </w:rPr>
      </w:pPr>
    </w:p>
    <w:p w14:paraId="249CEF8E" w14:textId="77777777" w:rsidR="003D34D0" w:rsidRDefault="003D34D0"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Communication 2019/07 du 29 mars 2019</w:t>
      </w:r>
      <w:r w:rsidR="00B70A77">
        <w:rPr>
          <w:rFonts w:ascii="Times New Roman" w:eastAsia="Calibri" w:hAnsi="Times New Roman" w:cs="Times New Roman"/>
          <w:sz w:val="24"/>
          <w:szCs w:val="24"/>
          <w:lang w:val="fr-BE"/>
        </w:rPr>
        <w:t xml:space="preserve"> relative à l’abrogation de la Circulaire 2011/03</w:t>
      </w:r>
    </w:p>
    <w:p w14:paraId="249CEF8F" w14:textId="77777777" w:rsidR="003D34D0" w:rsidRPr="00450164" w:rsidRDefault="003D34D0" w:rsidP="00EC75D2">
      <w:pPr>
        <w:pStyle w:val="ListParagraph"/>
        <w:spacing w:after="0" w:line="240" w:lineRule="auto"/>
        <w:contextualSpacing w:val="0"/>
        <w:rPr>
          <w:rFonts w:ascii="Times New Roman" w:eastAsia="Calibri" w:hAnsi="Times New Roman" w:cs="Times New Roman"/>
          <w:sz w:val="24"/>
          <w:szCs w:val="24"/>
          <w:lang w:val="fr-BE"/>
        </w:rPr>
      </w:pPr>
    </w:p>
    <w:p w14:paraId="249CEF90" w14:textId="77777777" w:rsidR="003D34D0" w:rsidRDefault="003D34D0"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Communication 2019/06 du 26 mars 2019</w:t>
      </w:r>
      <w:r w:rsidR="00B70A77">
        <w:rPr>
          <w:rFonts w:ascii="Times New Roman" w:eastAsia="Calibri" w:hAnsi="Times New Roman" w:cs="Times New Roman"/>
          <w:sz w:val="24"/>
          <w:szCs w:val="24"/>
          <w:lang w:val="fr-BE"/>
        </w:rPr>
        <w:t xml:space="preserve"> relative à l’approbation par le ministre de l’Economie des deux normes relatives à l’application des normes ISA en Belgique</w:t>
      </w:r>
    </w:p>
    <w:p w14:paraId="249CEF91" w14:textId="77777777" w:rsidR="003D34D0" w:rsidRPr="00450164" w:rsidRDefault="003D34D0" w:rsidP="00EC75D2">
      <w:pPr>
        <w:pStyle w:val="ListParagraph"/>
        <w:spacing w:after="0" w:line="240" w:lineRule="auto"/>
        <w:contextualSpacing w:val="0"/>
        <w:rPr>
          <w:rFonts w:ascii="Times New Roman" w:eastAsia="Calibri" w:hAnsi="Times New Roman" w:cs="Times New Roman"/>
          <w:sz w:val="24"/>
          <w:szCs w:val="24"/>
          <w:lang w:val="fr-BE"/>
        </w:rPr>
      </w:pPr>
    </w:p>
    <w:p w14:paraId="249CEF92" w14:textId="77777777" w:rsidR="003D34D0" w:rsidRDefault="003D34D0"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lastRenderedPageBreak/>
        <w:t>Communication 2018/20 du 30 octobre 2018</w:t>
      </w:r>
      <w:r w:rsidR="00B70A77">
        <w:rPr>
          <w:rFonts w:ascii="Times New Roman" w:eastAsia="Calibri" w:hAnsi="Times New Roman" w:cs="Times New Roman"/>
          <w:sz w:val="24"/>
          <w:szCs w:val="24"/>
          <w:lang w:val="fr-BE"/>
        </w:rPr>
        <w:t xml:space="preserve"> relative à l’Arrêté royal du 30 juillet 2018 relatif aux modalités de fonctionnement du registre UBO</w:t>
      </w:r>
    </w:p>
    <w:p w14:paraId="249CEF93" w14:textId="77777777" w:rsidR="003D34D0" w:rsidRPr="00450164" w:rsidRDefault="003D34D0" w:rsidP="00EC75D2">
      <w:pPr>
        <w:pStyle w:val="ListParagraph"/>
        <w:spacing w:after="0" w:line="240" w:lineRule="auto"/>
        <w:contextualSpacing w:val="0"/>
        <w:rPr>
          <w:rFonts w:ascii="Times New Roman" w:eastAsia="Calibri" w:hAnsi="Times New Roman" w:cs="Times New Roman"/>
          <w:sz w:val="24"/>
          <w:szCs w:val="24"/>
          <w:lang w:val="fr-BE"/>
        </w:rPr>
      </w:pPr>
    </w:p>
    <w:p w14:paraId="249CEF94" w14:textId="77777777" w:rsidR="003D34D0" w:rsidRDefault="003D34D0"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Communication 2018/11 du 27 juin 2018</w:t>
      </w:r>
      <w:r w:rsidR="00B70A77">
        <w:rPr>
          <w:rFonts w:ascii="Times New Roman" w:eastAsia="Calibri" w:hAnsi="Times New Roman" w:cs="Times New Roman"/>
          <w:sz w:val="24"/>
          <w:szCs w:val="24"/>
          <w:lang w:val="fr-BE"/>
        </w:rPr>
        <w:t xml:space="preserve"> relative à la question et réponse parlementaires relatives au champ d’application de l’exemption concernant la déclaration non financière</w:t>
      </w:r>
    </w:p>
    <w:p w14:paraId="249CEF95" w14:textId="77777777" w:rsidR="003D34D0" w:rsidRPr="00450164" w:rsidRDefault="003D34D0" w:rsidP="00EC75D2">
      <w:pPr>
        <w:pStyle w:val="ListParagraph"/>
        <w:spacing w:after="0" w:line="240" w:lineRule="auto"/>
        <w:contextualSpacing w:val="0"/>
        <w:rPr>
          <w:rFonts w:ascii="Times New Roman" w:eastAsia="Calibri" w:hAnsi="Times New Roman" w:cs="Times New Roman"/>
          <w:sz w:val="24"/>
          <w:szCs w:val="24"/>
          <w:lang w:val="fr-BE"/>
        </w:rPr>
      </w:pPr>
    </w:p>
    <w:p w14:paraId="249CEF96" w14:textId="77777777" w:rsidR="00F2489C" w:rsidRDefault="00F2489C"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 xml:space="preserve">Communication 2018/01 </w:t>
      </w:r>
      <w:r w:rsidR="005B706B">
        <w:rPr>
          <w:rFonts w:ascii="Times New Roman" w:eastAsia="Calibri" w:hAnsi="Times New Roman" w:cs="Times New Roman"/>
          <w:sz w:val="24"/>
          <w:szCs w:val="24"/>
          <w:lang w:val="fr-BE"/>
        </w:rPr>
        <w:t xml:space="preserve">du 5 février 2018 </w:t>
      </w:r>
      <w:r>
        <w:rPr>
          <w:rFonts w:ascii="Times New Roman" w:eastAsia="Calibri" w:hAnsi="Times New Roman" w:cs="Times New Roman"/>
          <w:sz w:val="24"/>
          <w:szCs w:val="24"/>
          <w:lang w:val="fr-BE"/>
        </w:rPr>
        <w:t>relative à la c</w:t>
      </w:r>
      <w:r w:rsidRPr="00F2489C">
        <w:rPr>
          <w:rFonts w:ascii="Times New Roman" w:eastAsia="Calibri" w:hAnsi="Times New Roman" w:cs="Times New Roman"/>
          <w:sz w:val="24"/>
          <w:szCs w:val="24"/>
          <w:lang w:val="fr-BE"/>
        </w:rPr>
        <w:t>onsultation publique sur le nouveau projet de norme complémentaire (révisée en 2018) aux normes internationales d’audit (ISA) applicables en Belgique – Le rapport du commissaire dans le cadre d’un contrôle légal de comptes annuels ou consolidés et autres aspects relatifs à la mission du commissaire (délai : 5 mars 2018)</w:t>
      </w:r>
    </w:p>
    <w:p w14:paraId="249CEF97" w14:textId="77777777" w:rsidR="00F2489C" w:rsidRPr="00F2489C" w:rsidRDefault="00F2489C" w:rsidP="00EC75D2">
      <w:pPr>
        <w:pStyle w:val="ListParagraph"/>
        <w:spacing w:after="0" w:line="240" w:lineRule="auto"/>
        <w:contextualSpacing w:val="0"/>
        <w:rPr>
          <w:rFonts w:ascii="Times New Roman" w:eastAsia="Calibri" w:hAnsi="Times New Roman" w:cs="Times New Roman"/>
          <w:sz w:val="24"/>
          <w:szCs w:val="24"/>
          <w:lang w:val="fr-BE"/>
        </w:rPr>
      </w:pPr>
    </w:p>
    <w:p w14:paraId="249CEF98" w14:textId="77777777" w:rsidR="00F2489C" w:rsidRDefault="00F2489C"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 xml:space="preserve">Communication 2017/17 </w:t>
      </w:r>
      <w:r w:rsidR="005B706B">
        <w:rPr>
          <w:rFonts w:ascii="Times New Roman" w:eastAsia="Calibri" w:hAnsi="Times New Roman" w:cs="Times New Roman"/>
          <w:sz w:val="24"/>
          <w:szCs w:val="24"/>
          <w:lang w:val="fr-BE"/>
        </w:rPr>
        <w:t xml:space="preserve">du 21 décembre 2017 </w:t>
      </w:r>
      <w:r>
        <w:rPr>
          <w:rFonts w:ascii="Times New Roman" w:eastAsia="Calibri" w:hAnsi="Times New Roman" w:cs="Times New Roman"/>
          <w:sz w:val="24"/>
          <w:szCs w:val="24"/>
          <w:lang w:val="fr-BE"/>
        </w:rPr>
        <w:t>relative à la c</w:t>
      </w:r>
      <w:r w:rsidRPr="00F2489C">
        <w:rPr>
          <w:rFonts w:ascii="Times New Roman" w:eastAsia="Calibri" w:hAnsi="Times New Roman" w:cs="Times New Roman"/>
          <w:sz w:val="24"/>
          <w:szCs w:val="24"/>
          <w:lang w:val="fr-BE"/>
        </w:rPr>
        <w:t>onsultation publique sur le nouveau projet de norme modifiant la norme du 10 novembre 2009 relative à l'application des normes ISA en Belgique (délai : 25 janvier 2018)</w:t>
      </w:r>
    </w:p>
    <w:p w14:paraId="249CEF99" w14:textId="77777777" w:rsidR="00F2489C" w:rsidRPr="00F2489C" w:rsidRDefault="00F2489C" w:rsidP="00EC75D2">
      <w:pPr>
        <w:pStyle w:val="ListParagraph"/>
        <w:spacing w:after="0" w:line="240" w:lineRule="auto"/>
        <w:contextualSpacing w:val="0"/>
        <w:rPr>
          <w:rFonts w:ascii="Times New Roman" w:eastAsia="Calibri" w:hAnsi="Times New Roman" w:cs="Times New Roman"/>
          <w:sz w:val="24"/>
          <w:szCs w:val="24"/>
          <w:lang w:val="fr-BE"/>
        </w:rPr>
      </w:pPr>
    </w:p>
    <w:p w14:paraId="249CEF9A" w14:textId="77777777" w:rsidR="00F2489C" w:rsidRDefault="00F2489C"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 xml:space="preserve">Communication 2017/13 </w:t>
      </w:r>
      <w:r w:rsidR="005B706B">
        <w:rPr>
          <w:rFonts w:ascii="Times New Roman" w:eastAsia="Calibri" w:hAnsi="Times New Roman" w:cs="Times New Roman"/>
          <w:sz w:val="24"/>
          <w:szCs w:val="24"/>
          <w:lang w:val="fr-BE"/>
        </w:rPr>
        <w:t xml:space="preserve">du 14 décembre 2017 </w:t>
      </w:r>
      <w:r>
        <w:rPr>
          <w:rFonts w:ascii="Times New Roman" w:eastAsia="Calibri" w:hAnsi="Times New Roman" w:cs="Times New Roman"/>
          <w:sz w:val="24"/>
          <w:szCs w:val="24"/>
          <w:lang w:val="fr-BE"/>
        </w:rPr>
        <w:t xml:space="preserve">relative à la note </w:t>
      </w:r>
      <w:r w:rsidRPr="00F2489C">
        <w:rPr>
          <w:rFonts w:ascii="Times New Roman" w:eastAsia="Calibri" w:hAnsi="Times New Roman" w:cs="Times New Roman"/>
          <w:sz w:val="24"/>
          <w:szCs w:val="24"/>
          <w:lang w:val="fr-BE"/>
        </w:rPr>
        <w:t>technique - Synthèse de la démarche d'audit dans des entités non complexes</w:t>
      </w:r>
    </w:p>
    <w:p w14:paraId="249CEF9B" w14:textId="77777777" w:rsidR="00F2489C" w:rsidRPr="00F2489C" w:rsidRDefault="00F2489C" w:rsidP="00EC75D2">
      <w:pPr>
        <w:pStyle w:val="ListParagraph"/>
        <w:spacing w:after="0" w:line="240" w:lineRule="auto"/>
        <w:contextualSpacing w:val="0"/>
        <w:rPr>
          <w:rFonts w:ascii="Times New Roman" w:eastAsia="Calibri" w:hAnsi="Times New Roman" w:cs="Times New Roman"/>
          <w:sz w:val="24"/>
          <w:szCs w:val="24"/>
          <w:lang w:val="fr-BE"/>
        </w:rPr>
      </w:pPr>
    </w:p>
    <w:p w14:paraId="249CEF9C" w14:textId="77777777" w:rsidR="008161A0" w:rsidRDefault="008161A0"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 xml:space="preserve">Communication 2017/06 </w:t>
      </w:r>
      <w:r w:rsidR="005B706B">
        <w:rPr>
          <w:rFonts w:ascii="Times New Roman" w:eastAsia="Calibri" w:hAnsi="Times New Roman" w:cs="Times New Roman"/>
          <w:sz w:val="24"/>
          <w:szCs w:val="24"/>
          <w:lang w:val="fr-BE"/>
        </w:rPr>
        <w:t xml:space="preserve">du 28 mars 2017 </w:t>
      </w:r>
      <w:r>
        <w:rPr>
          <w:rFonts w:ascii="Times New Roman" w:eastAsia="Calibri" w:hAnsi="Times New Roman" w:cs="Times New Roman"/>
          <w:sz w:val="24"/>
          <w:szCs w:val="24"/>
          <w:lang w:val="fr-BE"/>
        </w:rPr>
        <w:t>relative au r</w:t>
      </w:r>
      <w:r w:rsidRPr="008161A0">
        <w:rPr>
          <w:rFonts w:ascii="Times New Roman" w:eastAsia="Calibri" w:hAnsi="Times New Roman" w:cs="Times New Roman"/>
          <w:sz w:val="24"/>
          <w:szCs w:val="24"/>
          <w:lang w:val="fr-BE"/>
        </w:rPr>
        <w:t>apport du commissaire dans les associations et fondations</w:t>
      </w:r>
    </w:p>
    <w:p w14:paraId="249CEF9D" w14:textId="77777777" w:rsidR="008161A0" w:rsidRDefault="008161A0" w:rsidP="00EC75D2">
      <w:pPr>
        <w:pStyle w:val="ListParagraph"/>
        <w:spacing w:after="0" w:line="240" w:lineRule="auto"/>
        <w:contextualSpacing w:val="0"/>
        <w:jc w:val="both"/>
        <w:rPr>
          <w:rFonts w:ascii="Times New Roman" w:eastAsia="Calibri" w:hAnsi="Times New Roman" w:cs="Times New Roman"/>
          <w:sz w:val="24"/>
          <w:szCs w:val="24"/>
          <w:lang w:val="fr-BE"/>
        </w:rPr>
      </w:pPr>
    </w:p>
    <w:p w14:paraId="249CEF9E" w14:textId="77777777" w:rsidR="008161A0" w:rsidRDefault="008161A0"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Communication 2016/11 du 8 novembre 2016 relative aux p</w:t>
      </w:r>
      <w:r w:rsidRPr="008161A0">
        <w:rPr>
          <w:rFonts w:ascii="Times New Roman" w:eastAsia="Calibri" w:hAnsi="Times New Roman" w:cs="Times New Roman"/>
          <w:sz w:val="24"/>
          <w:szCs w:val="24"/>
          <w:lang w:val="fr-BE"/>
        </w:rPr>
        <w:t>ublications sur le site de l’ICCI : Normes ISA applicables aux petites entités – Mise à jour du Pack PE-KE et des checklis</w:t>
      </w:r>
      <w:r>
        <w:rPr>
          <w:rFonts w:ascii="Times New Roman" w:eastAsia="Calibri" w:hAnsi="Times New Roman" w:cs="Times New Roman"/>
          <w:sz w:val="24"/>
          <w:szCs w:val="24"/>
          <w:lang w:val="fr-BE"/>
        </w:rPr>
        <w:t>ts ISA - Lettres d’affirmation</w:t>
      </w:r>
    </w:p>
    <w:p w14:paraId="249CEF9F" w14:textId="77777777" w:rsidR="008161A0" w:rsidRDefault="008161A0" w:rsidP="00EC75D2">
      <w:pPr>
        <w:pStyle w:val="ListParagraph"/>
        <w:spacing w:after="0" w:line="240" w:lineRule="auto"/>
        <w:contextualSpacing w:val="0"/>
        <w:jc w:val="both"/>
        <w:rPr>
          <w:rFonts w:ascii="Times New Roman" w:eastAsia="Calibri" w:hAnsi="Times New Roman" w:cs="Times New Roman"/>
          <w:sz w:val="24"/>
          <w:szCs w:val="24"/>
          <w:lang w:val="fr-BE"/>
        </w:rPr>
      </w:pPr>
    </w:p>
    <w:p w14:paraId="249CEFA0" w14:textId="77777777" w:rsidR="008161A0" w:rsidRDefault="008161A0"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Communication 2014/10 du 29 octobre 2014 relative à</w:t>
      </w:r>
      <w:r w:rsidRPr="008161A0">
        <w:rPr>
          <w:rFonts w:ascii="Times New Roman" w:eastAsia="Calibri" w:hAnsi="Times New Roman" w:cs="Times New Roman"/>
          <w:sz w:val="24"/>
          <w:szCs w:val="24"/>
          <w:lang w:val="fr-BE"/>
        </w:rPr>
        <w:t xml:space="preserve"> </w:t>
      </w:r>
      <w:r>
        <w:rPr>
          <w:rFonts w:ascii="Times New Roman" w:eastAsia="Calibri" w:hAnsi="Times New Roman" w:cs="Times New Roman"/>
          <w:sz w:val="24"/>
          <w:szCs w:val="24"/>
          <w:lang w:val="fr-BE"/>
        </w:rPr>
        <w:t>(</w:t>
      </w:r>
      <w:r w:rsidRPr="008161A0">
        <w:rPr>
          <w:rFonts w:ascii="Times New Roman" w:eastAsia="Calibri" w:hAnsi="Times New Roman" w:cs="Times New Roman"/>
          <w:sz w:val="24"/>
          <w:szCs w:val="24"/>
          <w:lang w:val="fr-BE"/>
        </w:rPr>
        <w:t>1</w:t>
      </w:r>
      <w:r>
        <w:rPr>
          <w:rFonts w:ascii="Times New Roman" w:eastAsia="Calibri" w:hAnsi="Times New Roman" w:cs="Times New Roman"/>
          <w:sz w:val="24"/>
          <w:szCs w:val="24"/>
          <w:lang w:val="fr-BE"/>
        </w:rPr>
        <w:t>)</w:t>
      </w:r>
      <w:r w:rsidRPr="008161A0">
        <w:rPr>
          <w:rFonts w:ascii="Times New Roman" w:eastAsia="Calibri" w:hAnsi="Times New Roman" w:cs="Times New Roman"/>
          <w:sz w:val="24"/>
          <w:szCs w:val="24"/>
          <w:lang w:val="fr-BE"/>
        </w:rPr>
        <w:t xml:space="preserve"> </w:t>
      </w:r>
      <w:r>
        <w:rPr>
          <w:rFonts w:ascii="Times New Roman" w:eastAsia="Calibri" w:hAnsi="Times New Roman" w:cs="Times New Roman"/>
          <w:sz w:val="24"/>
          <w:szCs w:val="24"/>
          <w:lang w:val="fr-BE"/>
        </w:rPr>
        <w:t>la v</w:t>
      </w:r>
      <w:r w:rsidRPr="008161A0">
        <w:rPr>
          <w:rFonts w:ascii="Times New Roman" w:eastAsia="Calibri" w:hAnsi="Times New Roman" w:cs="Times New Roman"/>
          <w:sz w:val="24"/>
          <w:szCs w:val="24"/>
          <w:lang w:val="fr-BE"/>
        </w:rPr>
        <w:t>érification du bilan social par le réviseur d'entreprises</w:t>
      </w:r>
      <w:r>
        <w:rPr>
          <w:rFonts w:ascii="Times New Roman" w:eastAsia="Calibri" w:hAnsi="Times New Roman" w:cs="Times New Roman"/>
          <w:sz w:val="24"/>
          <w:szCs w:val="24"/>
          <w:lang w:val="fr-BE"/>
        </w:rPr>
        <w:t xml:space="preserve"> et</w:t>
      </w:r>
      <w:r w:rsidRPr="008161A0">
        <w:rPr>
          <w:rFonts w:ascii="Times New Roman" w:eastAsia="Calibri" w:hAnsi="Times New Roman" w:cs="Times New Roman"/>
          <w:sz w:val="24"/>
          <w:szCs w:val="24"/>
          <w:lang w:val="fr-BE"/>
        </w:rPr>
        <w:t xml:space="preserve"> </w:t>
      </w:r>
      <w:r>
        <w:rPr>
          <w:rFonts w:ascii="Times New Roman" w:eastAsia="Calibri" w:hAnsi="Times New Roman" w:cs="Times New Roman"/>
          <w:sz w:val="24"/>
          <w:szCs w:val="24"/>
          <w:lang w:val="fr-BE"/>
        </w:rPr>
        <w:t>(</w:t>
      </w:r>
      <w:r w:rsidRPr="008161A0">
        <w:rPr>
          <w:rFonts w:ascii="Times New Roman" w:eastAsia="Calibri" w:hAnsi="Times New Roman" w:cs="Times New Roman"/>
          <w:sz w:val="24"/>
          <w:szCs w:val="24"/>
          <w:lang w:val="fr-BE"/>
        </w:rPr>
        <w:t>2</w:t>
      </w:r>
      <w:r>
        <w:rPr>
          <w:rFonts w:ascii="Times New Roman" w:eastAsia="Calibri" w:hAnsi="Times New Roman" w:cs="Times New Roman"/>
          <w:sz w:val="24"/>
          <w:szCs w:val="24"/>
          <w:lang w:val="fr-BE"/>
        </w:rPr>
        <w:t>) le r</w:t>
      </w:r>
      <w:r w:rsidRPr="008161A0">
        <w:rPr>
          <w:rFonts w:ascii="Times New Roman" w:eastAsia="Calibri" w:hAnsi="Times New Roman" w:cs="Times New Roman"/>
          <w:sz w:val="24"/>
          <w:szCs w:val="24"/>
          <w:lang w:val="fr-BE"/>
        </w:rPr>
        <w:t>apport d'analyse sur la structure de la rémunération des travailleurs (AR et AM du 25 avril 2014)</w:t>
      </w:r>
    </w:p>
    <w:p w14:paraId="249CEFA1" w14:textId="77777777" w:rsidR="008161A0" w:rsidRDefault="008161A0" w:rsidP="00EC75D2">
      <w:pPr>
        <w:pStyle w:val="ListParagraph"/>
        <w:spacing w:after="0" w:line="240" w:lineRule="auto"/>
        <w:contextualSpacing w:val="0"/>
        <w:jc w:val="both"/>
        <w:rPr>
          <w:rFonts w:ascii="Times New Roman" w:eastAsia="Calibri" w:hAnsi="Times New Roman" w:cs="Times New Roman"/>
          <w:sz w:val="24"/>
          <w:szCs w:val="24"/>
          <w:lang w:val="fr-BE"/>
        </w:rPr>
      </w:pPr>
    </w:p>
    <w:p w14:paraId="249CEFA2" w14:textId="77777777" w:rsidR="00D914E0" w:rsidRDefault="00D914E0"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Communication 2012/07 du 9 mai 2012 relative à la d</w:t>
      </w:r>
      <w:r w:rsidRPr="00DA2EF8">
        <w:rPr>
          <w:rFonts w:ascii="Times New Roman" w:eastAsia="Calibri" w:hAnsi="Times New Roman" w:cs="Times New Roman"/>
          <w:sz w:val="24"/>
          <w:szCs w:val="24"/>
          <w:lang w:val="fr-BE"/>
        </w:rPr>
        <w:t>escription des principales caractéristiques des systèmes de contrôle interne et de gestion des risques</w:t>
      </w:r>
    </w:p>
    <w:p w14:paraId="249CEFA3" w14:textId="77777777" w:rsidR="00D914E0" w:rsidRPr="003F4C5D" w:rsidRDefault="00D914E0" w:rsidP="00EC75D2">
      <w:pPr>
        <w:pStyle w:val="ListParagraph"/>
        <w:spacing w:after="0" w:line="240" w:lineRule="auto"/>
        <w:contextualSpacing w:val="0"/>
        <w:rPr>
          <w:rFonts w:ascii="Times New Roman" w:eastAsia="Calibri" w:hAnsi="Times New Roman" w:cs="Times New Roman"/>
          <w:sz w:val="24"/>
          <w:szCs w:val="24"/>
          <w:lang w:val="fr-BE"/>
        </w:rPr>
      </w:pPr>
    </w:p>
    <w:p w14:paraId="249CEFA4" w14:textId="77777777" w:rsidR="00D914E0" w:rsidRPr="00D914E0" w:rsidRDefault="00D914E0"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sidRPr="00D914E0">
        <w:rPr>
          <w:rFonts w:ascii="Times New Roman" w:eastAsia="Calibri" w:hAnsi="Times New Roman" w:cs="Times New Roman"/>
          <w:sz w:val="24"/>
          <w:szCs w:val="24"/>
          <w:lang w:val="fr-BE"/>
        </w:rPr>
        <w:t>Communication 2011/18 du 29 décembre 2011 au sujet de la loi du 20 décembre 2010 concernant l</w:t>
      </w:r>
      <w:r w:rsidR="001E138C">
        <w:rPr>
          <w:rFonts w:ascii="Times New Roman" w:eastAsia="Calibri" w:hAnsi="Times New Roman" w:cs="Times New Roman"/>
          <w:sz w:val="24"/>
          <w:szCs w:val="24"/>
          <w:lang w:val="fr-BE"/>
        </w:rPr>
        <w:t>’</w:t>
      </w:r>
      <w:r w:rsidRPr="00D914E0">
        <w:rPr>
          <w:rFonts w:ascii="Times New Roman" w:eastAsia="Calibri" w:hAnsi="Times New Roman" w:cs="Times New Roman"/>
          <w:sz w:val="24"/>
          <w:szCs w:val="24"/>
          <w:lang w:val="fr-BE"/>
        </w:rPr>
        <w:t>exercice de certains droits des actionnaires d</w:t>
      </w:r>
      <w:r w:rsidR="001E138C">
        <w:rPr>
          <w:rFonts w:ascii="Times New Roman" w:eastAsia="Calibri" w:hAnsi="Times New Roman" w:cs="Times New Roman"/>
          <w:sz w:val="24"/>
          <w:szCs w:val="24"/>
          <w:lang w:val="fr-BE"/>
        </w:rPr>
        <w:t>e sociétés cotées – impact sur l</w:t>
      </w:r>
      <w:r w:rsidRPr="00D914E0">
        <w:rPr>
          <w:rFonts w:ascii="Times New Roman" w:eastAsia="Calibri" w:hAnsi="Times New Roman" w:cs="Times New Roman"/>
          <w:sz w:val="24"/>
          <w:szCs w:val="24"/>
          <w:lang w:val="fr-BE"/>
        </w:rPr>
        <w:t>a fonction du commissaire, ayant ses effets les plus importants au 1</w:t>
      </w:r>
      <w:r w:rsidR="001E138C" w:rsidRPr="001E138C">
        <w:rPr>
          <w:rFonts w:ascii="Times New Roman" w:eastAsia="Calibri" w:hAnsi="Times New Roman" w:cs="Times New Roman"/>
          <w:sz w:val="24"/>
          <w:szCs w:val="24"/>
          <w:vertAlign w:val="superscript"/>
          <w:lang w:val="fr-BE"/>
        </w:rPr>
        <w:t>er</w:t>
      </w:r>
      <w:r w:rsidR="001E138C">
        <w:rPr>
          <w:rFonts w:ascii="Times New Roman" w:eastAsia="Calibri" w:hAnsi="Times New Roman" w:cs="Times New Roman"/>
          <w:sz w:val="24"/>
          <w:szCs w:val="24"/>
          <w:lang w:val="fr-BE"/>
        </w:rPr>
        <w:t xml:space="preserve"> </w:t>
      </w:r>
      <w:r w:rsidRPr="00D914E0">
        <w:rPr>
          <w:rFonts w:ascii="Times New Roman" w:eastAsia="Calibri" w:hAnsi="Times New Roman" w:cs="Times New Roman"/>
          <w:sz w:val="24"/>
          <w:szCs w:val="24"/>
          <w:lang w:val="fr-BE"/>
        </w:rPr>
        <w:t>janvier 2012 (</w:t>
      </w:r>
      <w:r w:rsidRPr="00D914E0">
        <w:rPr>
          <w:rFonts w:ascii="Times New Roman" w:eastAsia="Calibri" w:hAnsi="Times New Roman" w:cs="Times New Roman"/>
          <w:i/>
          <w:sz w:val="24"/>
          <w:szCs w:val="24"/>
          <w:lang w:val="fr-BE"/>
        </w:rPr>
        <w:t>La remise des pièces au commissaire, la remise par lui de son rapport et la prorogation de l</w:t>
      </w:r>
      <w:r w:rsidR="001E138C">
        <w:rPr>
          <w:rFonts w:ascii="Times New Roman" w:eastAsia="Calibri" w:hAnsi="Times New Roman" w:cs="Times New Roman"/>
          <w:i/>
          <w:sz w:val="24"/>
          <w:szCs w:val="24"/>
          <w:lang w:val="fr-BE"/>
        </w:rPr>
        <w:t>’</w:t>
      </w:r>
      <w:r w:rsidRPr="00D914E0">
        <w:rPr>
          <w:rFonts w:ascii="Times New Roman" w:eastAsia="Calibri" w:hAnsi="Times New Roman" w:cs="Times New Roman"/>
          <w:i/>
          <w:sz w:val="24"/>
          <w:szCs w:val="24"/>
          <w:lang w:val="fr-BE"/>
        </w:rPr>
        <w:t>assemblée générale</w:t>
      </w:r>
      <w:r w:rsidRPr="00D914E0">
        <w:rPr>
          <w:rFonts w:ascii="Times New Roman" w:eastAsia="Calibri" w:hAnsi="Times New Roman" w:cs="Times New Roman"/>
          <w:sz w:val="24"/>
          <w:szCs w:val="24"/>
          <w:lang w:val="fr-BE"/>
        </w:rPr>
        <w:t>)</w:t>
      </w:r>
    </w:p>
    <w:p w14:paraId="249CEFA5" w14:textId="77777777" w:rsidR="00D914E0" w:rsidRPr="00800C21" w:rsidRDefault="00D914E0" w:rsidP="00EC75D2">
      <w:pPr>
        <w:pStyle w:val="ListParagraph"/>
        <w:spacing w:after="0" w:line="240" w:lineRule="auto"/>
        <w:contextualSpacing w:val="0"/>
        <w:rPr>
          <w:rFonts w:ascii="Times New Roman" w:eastAsia="Calibri" w:hAnsi="Times New Roman" w:cs="Times New Roman"/>
          <w:sz w:val="24"/>
          <w:szCs w:val="24"/>
          <w:lang w:val="fr-BE"/>
        </w:rPr>
      </w:pPr>
    </w:p>
    <w:p w14:paraId="249CEFA8" w14:textId="77777777" w:rsidR="00D914E0" w:rsidRDefault="00D914E0"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C</w:t>
      </w:r>
      <w:r w:rsidRPr="00623AAE">
        <w:rPr>
          <w:rFonts w:ascii="Times New Roman" w:eastAsia="Calibri" w:hAnsi="Times New Roman" w:cs="Times New Roman"/>
          <w:sz w:val="24"/>
          <w:szCs w:val="24"/>
          <w:lang w:val="fr-BE"/>
        </w:rPr>
        <w:t>o</w:t>
      </w:r>
      <w:r>
        <w:rPr>
          <w:rFonts w:ascii="Times New Roman" w:eastAsia="Calibri" w:hAnsi="Times New Roman" w:cs="Times New Roman"/>
          <w:sz w:val="24"/>
          <w:szCs w:val="24"/>
          <w:lang w:val="fr-BE"/>
        </w:rPr>
        <w:t>mmunication du 19 juillet 2010 relative</w:t>
      </w:r>
      <w:r w:rsidRPr="00623AAE">
        <w:rPr>
          <w:rFonts w:ascii="Times New Roman" w:eastAsia="Calibri" w:hAnsi="Times New Roman" w:cs="Times New Roman"/>
          <w:sz w:val="24"/>
          <w:szCs w:val="24"/>
          <w:lang w:val="fr-BE"/>
        </w:rPr>
        <w:t xml:space="preserve"> à la loi du 6 avril 2010 sur le gouvernement d</w:t>
      </w:r>
      <w:r w:rsidR="001E138C">
        <w:rPr>
          <w:rFonts w:ascii="Times New Roman" w:eastAsia="Calibri" w:hAnsi="Times New Roman" w:cs="Times New Roman"/>
          <w:sz w:val="24"/>
          <w:szCs w:val="24"/>
          <w:lang w:val="fr-BE"/>
        </w:rPr>
        <w:t>’</w:t>
      </w:r>
      <w:r w:rsidRPr="00623AAE">
        <w:rPr>
          <w:rFonts w:ascii="Times New Roman" w:eastAsia="Calibri" w:hAnsi="Times New Roman" w:cs="Times New Roman"/>
          <w:sz w:val="24"/>
          <w:szCs w:val="24"/>
          <w:lang w:val="fr-BE"/>
        </w:rPr>
        <w:t>entreprise dans les sociétés cotées</w:t>
      </w:r>
    </w:p>
    <w:p w14:paraId="249CEFA9" w14:textId="77777777" w:rsidR="00D914E0" w:rsidRPr="002C2444" w:rsidRDefault="00D914E0" w:rsidP="00EC75D2">
      <w:pPr>
        <w:pStyle w:val="ListParagraph"/>
        <w:spacing w:after="0" w:line="240" w:lineRule="auto"/>
        <w:contextualSpacing w:val="0"/>
        <w:rPr>
          <w:rFonts w:ascii="Times New Roman" w:eastAsia="Calibri" w:hAnsi="Times New Roman" w:cs="Times New Roman"/>
          <w:sz w:val="24"/>
          <w:szCs w:val="24"/>
          <w:lang w:val="fr-BE"/>
        </w:rPr>
      </w:pPr>
    </w:p>
    <w:p w14:paraId="249CEFAA" w14:textId="77777777" w:rsidR="00D914E0" w:rsidRDefault="00D914E0"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C</w:t>
      </w:r>
      <w:r w:rsidRPr="00800C21">
        <w:rPr>
          <w:rFonts w:ascii="Times New Roman" w:eastAsia="Calibri" w:hAnsi="Times New Roman" w:cs="Times New Roman"/>
          <w:sz w:val="24"/>
          <w:szCs w:val="24"/>
          <w:lang w:val="fr-BE"/>
        </w:rPr>
        <w:t>ommunication du 22 janvier 2010 concernant l</w:t>
      </w:r>
      <w:r w:rsidR="001E138C">
        <w:rPr>
          <w:rFonts w:ascii="Times New Roman" w:eastAsia="Calibri" w:hAnsi="Times New Roman" w:cs="Times New Roman"/>
          <w:sz w:val="24"/>
          <w:szCs w:val="24"/>
          <w:lang w:val="fr-BE"/>
        </w:rPr>
        <w:t>’</w:t>
      </w:r>
      <w:r w:rsidRPr="00800C21">
        <w:rPr>
          <w:rFonts w:ascii="Times New Roman" w:eastAsia="Calibri" w:hAnsi="Times New Roman" w:cs="Times New Roman"/>
          <w:sz w:val="24"/>
          <w:szCs w:val="24"/>
          <w:lang w:val="fr-BE"/>
        </w:rPr>
        <w:t>exercice de la fonction de commissaire dans les organisations non gouvernementales de développement agréées</w:t>
      </w:r>
    </w:p>
    <w:p w14:paraId="249CEFAB" w14:textId="77777777" w:rsidR="00D914E0" w:rsidRPr="00800C21" w:rsidRDefault="00D914E0" w:rsidP="00EC75D2">
      <w:pPr>
        <w:pStyle w:val="ListParagraph"/>
        <w:spacing w:after="0" w:line="240" w:lineRule="auto"/>
        <w:contextualSpacing w:val="0"/>
        <w:rPr>
          <w:rFonts w:ascii="Times New Roman" w:eastAsia="Calibri" w:hAnsi="Times New Roman" w:cs="Times New Roman"/>
          <w:sz w:val="24"/>
          <w:szCs w:val="24"/>
          <w:lang w:val="fr-BE"/>
        </w:rPr>
      </w:pPr>
    </w:p>
    <w:p w14:paraId="249CEFAC" w14:textId="77777777" w:rsidR="00D914E0" w:rsidRDefault="00D914E0"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C</w:t>
      </w:r>
      <w:r w:rsidRPr="002B7C98">
        <w:rPr>
          <w:rFonts w:ascii="Times New Roman" w:eastAsia="Calibri" w:hAnsi="Times New Roman" w:cs="Times New Roman"/>
          <w:sz w:val="24"/>
          <w:szCs w:val="24"/>
          <w:lang w:val="fr-BE"/>
        </w:rPr>
        <w:t>ommunication</w:t>
      </w:r>
      <w:r>
        <w:rPr>
          <w:rFonts w:ascii="Times New Roman" w:eastAsia="Calibri" w:hAnsi="Times New Roman" w:cs="Times New Roman"/>
          <w:sz w:val="24"/>
          <w:szCs w:val="24"/>
          <w:lang w:val="fr-BE"/>
        </w:rPr>
        <w:t xml:space="preserve"> du 20 février 2009 relative au r</w:t>
      </w:r>
      <w:r w:rsidRPr="002B7C98">
        <w:rPr>
          <w:rFonts w:ascii="Times New Roman" w:eastAsia="Calibri" w:hAnsi="Times New Roman" w:cs="Times New Roman"/>
          <w:sz w:val="24"/>
          <w:szCs w:val="24"/>
          <w:lang w:val="fr-BE"/>
        </w:rPr>
        <w:t>appel de quelques aspects de la mission du commissaire auprès d</w:t>
      </w:r>
      <w:r w:rsidR="001E138C">
        <w:rPr>
          <w:rFonts w:ascii="Times New Roman" w:eastAsia="Calibri" w:hAnsi="Times New Roman" w:cs="Times New Roman"/>
          <w:sz w:val="24"/>
          <w:szCs w:val="24"/>
          <w:lang w:val="fr-BE"/>
        </w:rPr>
        <w:t>’</w:t>
      </w:r>
      <w:r w:rsidRPr="002B7C98">
        <w:rPr>
          <w:rFonts w:ascii="Times New Roman" w:eastAsia="Calibri" w:hAnsi="Times New Roman" w:cs="Times New Roman"/>
          <w:sz w:val="24"/>
          <w:szCs w:val="24"/>
          <w:lang w:val="fr-BE"/>
        </w:rPr>
        <w:t>une association ou fondation</w:t>
      </w:r>
    </w:p>
    <w:p w14:paraId="249CEFAD" w14:textId="77777777" w:rsidR="00D914E0" w:rsidRPr="002C2444" w:rsidRDefault="00D914E0" w:rsidP="00EC75D2">
      <w:pPr>
        <w:pStyle w:val="ListParagraph"/>
        <w:spacing w:after="0" w:line="240" w:lineRule="auto"/>
        <w:contextualSpacing w:val="0"/>
        <w:rPr>
          <w:rFonts w:ascii="Times New Roman" w:eastAsia="Calibri" w:hAnsi="Times New Roman" w:cs="Times New Roman"/>
          <w:sz w:val="24"/>
          <w:szCs w:val="24"/>
          <w:lang w:val="fr-BE"/>
        </w:rPr>
      </w:pPr>
    </w:p>
    <w:p w14:paraId="249CEFAE" w14:textId="77777777" w:rsidR="00D914E0" w:rsidRDefault="00D914E0" w:rsidP="00EC75D2">
      <w:pPr>
        <w:pStyle w:val="ListParagraph"/>
        <w:numPr>
          <w:ilvl w:val="0"/>
          <w:numId w:val="9"/>
        </w:numPr>
        <w:spacing w:after="0" w:line="240" w:lineRule="auto"/>
        <w:contextualSpacing w:val="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lastRenderedPageBreak/>
        <w:t>Communication du 31 janvier 2006 relative aux a</w:t>
      </w:r>
      <w:r w:rsidRPr="002B7C98">
        <w:rPr>
          <w:rFonts w:ascii="Times New Roman" w:eastAsia="Calibri" w:hAnsi="Times New Roman" w:cs="Times New Roman"/>
          <w:sz w:val="24"/>
          <w:szCs w:val="24"/>
          <w:lang w:val="fr-BE"/>
        </w:rPr>
        <w:t>rticles 96 et 119 du Code des sociétés (rapport de gestion) et 144 et 148 du Code des sociétés (rapport du commissaire)</w:t>
      </w:r>
    </w:p>
    <w:p w14:paraId="249CEFAF" w14:textId="77777777" w:rsidR="00D914E0" w:rsidRPr="00D914E0" w:rsidRDefault="00D914E0" w:rsidP="00D914E0">
      <w:pPr>
        <w:pStyle w:val="ListParagraph"/>
        <w:rPr>
          <w:rFonts w:ascii="Times New Roman" w:eastAsia="Calibri" w:hAnsi="Times New Roman" w:cs="Times New Roman"/>
          <w:sz w:val="24"/>
          <w:szCs w:val="24"/>
          <w:lang w:val="fr-BE"/>
        </w:rPr>
      </w:pPr>
    </w:p>
    <w:p w14:paraId="249CEFB1" w14:textId="77777777" w:rsidR="00365CDB" w:rsidRPr="00365CDB" w:rsidRDefault="00365CDB" w:rsidP="00365CDB">
      <w:pPr>
        <w:pStyle w:val="ListParagraph"/>
        <w:numPr>
          <w:ilvl w:val="0"/>
          <w:numId w:val="2"/>
        </w:numPr>
        <w:jc w:val="both"/>
        <w:rPr>
          <w:rFonts w:ascii="Times New Roman" w:eastAsia="Calibri" w:hAnsi="Times New Roman" w:cs="Times New Roman"/>
          <w:sz w:val="24"/>
          <w:szCs w:val="24"/>
          <w:lang w:val="fr-BE"/>
        </w:rPr>
      </w:pPr>
      <w:r w:rsidRPr="00365CDB">
        <w:rPr>
          <w:rFonts w:ascii="Times New Roman" w:eastAsia="Calibri" w:hAnsi="Times New Roman" w:cs="Times New Roman"/>
          <w:b/>
          <w:sz w:val="24"/>
          <w:szCs w:val="24"/>
          <w:lang w:val="fr-BE"/>
        </w:rPr>
        <w:t>Extrait</w:t>
      </w:r>
      <w:r w:rsidR="00A875CA">
        <w:rPr>
          <w:rFonts w:ascii="Times New Roman" w:eastAsia="Calibri" w:hAnsi="Times New Roman" w:cs="Times New Roman"/>
          <w:b/>
          <w:sz w:val="24"/>
          <w:szCs w:val="24"/>
          <w:lang w:val="fr-BE"/>
        </w:rPr>
        <w:t>s</w:t>
      </w:r>
      <w:r w:rsidRPr="00365CDB">
        <w:rPr>
          <w:rFonts w:ascii="Times New Roman" w:eastAsia="Calibri" w:hAnsi="Times New Roman" w:cs="Times New Roman"/>
          <w:b/>
          <w:sz w:val="24"/>
          <w:szCs w:val="24"/>
          <w:lang w:val="fr-BE"/>
        </w:rPr>
        <w:t xml:space="preserve"> du</w:t>
      </w:r>
      <w:r w:rsidR="001E138C">
        <w:rPr>
          <w:rFonts w:ascii="Times New Roman" w:eastAsia="Calibri" w:hAnsi="Times New Roman" w:cs="Times New Roman"/>
          <w:b/>
          <w:sz w:val="24"/>
          <w:szCs w:val="24"/>
          <w:lang w:val="fr-BE"/>
        </w:rPr>
        <w:t xml:space="preserve"> IRE,</w:t>
      </w:r>
      <w:r w:rsidRPr="00365CDB">
        <w:rPr>
          <w:rFonts w:ascii="Times New Roman" w:eastAsia="Calibri" w:hAnsi="Times New Roman" w:cs="Times New Roman"/>
          <w:b/>
          <w:sz w:val="24"/>
          <w:szCs w:val="24"/>
          <w:lang w:val="fr-BE"/>
        </w:rPr>
        <w:t xml:space="preserve"> </w:t>
      </w:r>
      <w:r w:rsidR="0091234B">
        <w:rPr>
          <w:rFonts w:ascii="Times New Roman" w:eastAsia="Calibri" w:hAnsi="Times New Roman" w:cs="Times New Roman"/>
          <w:b/>
          <w:i/>
          <w:sz w:val="24"/>
          <w:szCs w:val="24"/>
          <w:lang w:val="fr-BE"/>
        </w:rPr>
        <w:t>Vademe</w:t>
      </w:r>
      <w:r w:rsidR="008026D8" w:rsidRPr="00FF2F2E">
        <w:rPr>
          <w:rFonts w:ascii="Times New Roman" w:eastAsia="Calibri" w:hAnsi="Times New Roman" w:cs="Times New Roman"/>
          <w:b/>
          <w:i/>
          <w:sz w:val="24"/>
          <w:szCs w:val="24"/>
          <w:lang w:val="fr-BE"/>
        </w:rPr>
        <w:t>cum</w:t>
      </w:r>
      <w:r w:rsidRPr="00365CDB">
        <w:rPr>
          <w:rFonts w:ascii="Times New Roman" w:eastAsia="Calibri" w:hAnsi="Times New Roman" w:cs="Times New Roman"/>
          <w:b/>
          <w:sz w:val="24"/>
          <w:szCs w:val="24"/>
          <w:lang w:val="fr-BE"/>
        </w:rPr>
        <w:t xml:space="preserve"> 2009</w:t>
      </w:r>
      <w:r w:rsidR="00A875CA">
        <w:rPr>
          <w:rFonts w:ascii="Times New Roman" w:eastAsia="Calibri" w:hAnsi="Times New Roman" w:cs="Times New Roman"/>
          <w:b/>
          <w:sz w:val="24"/>
          <w:szCs w:val="24"/>
          <w:lang w:val="fr-BE"/>
        </w:rPr>
        <w:t>,</w:t>
      </w:r>
      <w:r w:rsidRPr="00365CDB">
        <w:rPr>
          <w:rFonts w:ascii="Times New Roman" w:eastAsia="Calibri" w:hAnsi="Times New Roman" w:cs="Times New Roman"/>
          <w:b/>
          <w:sz w:val="24"/>
          <w:szCs w:val="24"/>
          <w:lang w:val="fr-BE"/>
        </w:rPr>
        <w:t xml:space="preserve"> Tome 1</w:t>
      </w:r>
      <w:r w:rsidR="001E138C">
        <w:rPr>
          <w:rFonts w:ascii="Times New Roman" w:eastAsia="Calibri" w:hAnsi="Times New Roman" w:cs="Times New Roman"/>
          <w:b/>
          <w:sz w:val="24"/>
          <w:szCs w:val="24"/>
          <w:lang w:val="fr-BE"/>
        </w:rPr>
        <w:t> : Doctrine</w:t>
      </w:r>
    </w:p>
    <w:p w14:paraId="249CEFB2" w14:textId="77777777" w:rsidR="00365CDB" w:rsidRPr="00365CDB" w:rsidRDefault="00365CDB" w:rsidP="00365CDB">
      <w:pPr>
        <w:numPr>
          <w:ilvl w:val="12"/>
          <w:numId w:val="0"/>
        </w:numPr>
        <w:ind w:left="284" w:hanging="284"/>
        <w:jc w:val="both"/>
        <w:rPr>
          <w:rFonts w:ascii="Times New Roman" w:eastAsia="Calibri" w:hAnsi="Times New Roman" w:cs="Times New Roman"/>
          <w:sz w:val="24"/>
          <w:szCs w:val="24"/>
          <w:u w:val="single"/>
          <w:lang w:val="fr-BE"/>
        </w:rPr>
      </w:pPr>
      <w:r>
        <w:rPr>
          <w:rFonts w:ascii="Times New Roman" w:eastAsia="Calibri" w:hAnsi="Times New Roman" w:cs="Times New Roman"/>
          <w:sz w:val="24"/>
          <w:szCs w:val="24"/>
          <w:lang w:val="fr-BE"/>
        </w:rPr>
        <w:tab/>
      </w:r>
      <w:r>
        <w:rPr>
          <w:rFonts w:ascii="Times New Roman" w:eastAsia="Calibri" w:hAnsi="Times New Roman" w:cs="Times New Roman"/>
          <w:sz w:val="24"/>
          <w:szCs w:val="24"/>
          <w:lang w:val="fr-BE"/>
        </w:rPr>
        <w:tab/>
      </w:r>
      <w:r>
        <w:rPr>
          <w:rFonts w:ascii="Times New Roman" w:eastAsia="Calibri" w:hAnsi="Times New Roman" w:cs="Times New Roman"/>
          <w:sz w:val="24"/>
          <w:szCs w:val="24"/>
          <w:lang w:val="fr-BE"/>
        </w:rPr>
        <w:tab/>
      </w:r>
      <w:r>
        <w:rPr>
          <w:rFonts w:ascii="Times New Roman" w:eastAsia="Calibri" w:hAnsi="Times New Roman" w:cs="Times New Roman"/>
          <w:sz w:val="24"/>
          <w:szCs w:val="24"/>
          <w:lang w:val="fr-BE"/>
        </w:rPr>
        <w:tab/>
      </w:r>
      <w:r>
        <w:rPr>
          <w:rFonts w:ascii="Times New Roman" w:eastAsia="Calibri" w:hAnsi="Times New Roman" w:cs="Times New Roman"/>
          <w:sz w:val="24"/>
          <w:szCs w:val="24"/>
          <w:lang w:val="fr-BE"/>
        </w:rPr>
        <w:tab/>
      </w:r>
      <w:r>
        <w:rPr>
          <w:rFonts w:ascii="Times New Roman" w:eastAsia="Calibri" w:hAnsi="Times New Roman" w:cs="Times New Roman"/>
          <w:sz w:val="24"/>
          <w:szCs w:val="24"/>
          <w:lang w:val="fr-BE"/>
        </w:rPr>
        <w:tab/>
      </w:r>
      <w:r>
        <w:rPr>
          <w:rFonts w:ascii="Times New Roman" w:eastAsia="Calibri" w:hAnsi="Times New Roman" w:cs="Times New Roman"/>
          <w:sz w:val="24"/>
          <w:szCs w:val="24"/>
          <w:lang w:val="fr-BE"/>
        </w:rPr>
        <w:tab/>
      </w:r>
      <w:r>
        <w:rPr>
          <w:rFonts w:ascii="Times New Roman" w:eastAsia="Calibri" w:hAnsi="Times New Roman" w:cs="Times New Roman"/>
          <w:sz w:val="24"/>
          <w:szCs w:val="24"/>
          <w:lang w:val="fr-BE"/>
        </w:rPr>
        <w:tab/>
      </w:r>
      <w:r>
        <w:rPr>
          <w:rFonts w:ascii="Times New Roman" w:eastAsia="Calibri" w:hAnsi="Times New Roman" w:cs="Times New Roman"/>
          <w:sz w:val="24"/>
          <w:szCs w:val="24"/>
          <w:lang w:val="fr-BE"/>
        </w:rPr>
        <w:tab/>
      </w:r>
      <w:r>
        <w:rPr>
          <w:rFonts w:ascii="Times New Roman" w:eastAsia="Calibri" w:hAnsi="Times New Roman" w:cs="Times New Roman"/>
          <w:sz w:val="24"/>
          <w:szCs w:val="24"/>
          <w:lang w:val="fr-BE"/>
        </w:rPr>
        <w:tab/>
      </w:r>
      <w:r>
        <w:rPr>
          <w:rFonts w:ascii="Times New Roman" w:eastAsia="Calibri" w:hAnsi="Times New Roman" w:cs="Times New Roman"/>
          <w:sz w:val="24"/>
          <w:szCs w:val="24"/>
          <w:lang w:val="fr-BE"/>
        </w:rPr>
        <w:tab/>
      </w:r>
      <w:r>
        <w:rPr>
          <w:rFonts w:ascii="Times New Roman" w:eastAsia="Calibri" w:hAnsi="Times New Roman" w:cs="Times New Roman"/>
          <w:sz w:val="24"/>
          <w:szCs w:val="24"/>
          <w:lang w:val="fr-BE"/>
        </w:rPr>
        <w:tab/>
      </w:r>
      <w:r>
        <w:rPr>
          <w:rFonts w:ascii="Times New Roman" w:eastAsia="Calibri" w:hAnsi="Times New Roman" w:cs="Times New Roman"/>
          <w:sz w:val="24"/>
          <w:szCs w:val="24"/>
          <w:lang w:val="fr-BE"/>
        </w:rPr>
        <w:tab/>
      </w:r>
      <w:r>
        <w:rPr>
          <w:rFonts w:ascii="Times New Roman" w:eastAsia="Calibri" w:hAnsi="Times New Roman" w:cs="Times New Roman"/>
          <w:sz w:val="24"/>
          <w:szCs w:val="24"/>
          <w:u w:val="single"/>
          <w:lang w:val="fr-BE"/>
        </w:rPr>
        <w:t>Page</w:t>
      </w:r>
    </w:p>
    <w:p w14:paraId="249CEFB3" w14:textId="77777777" w:rsidR="00365CDB" w:rsidRPr="00365CDB" w:rsidRDefault="00365CDB" w:rsidP="00365CDB">
      <w:pPr>
        <w:pStyle w:val="ListParagraph"/>
        <w:numPr>
          <w:ilvl w:val="0"/>
          <w:numId w:val="1"/>
        </w:numPr>
        <w:jc w:val="both"/>
        <w:rPr>
          <w:rFonts w:ascii="Times New Roman" w:eastAsia="Calibri" w:hAnsi="Times New Roman" w:cs="Times New Roman"/>
          <w:b/>
          <w:sz w:val="24"/>
          <w:szCs w:val="24"/>
          <w:lang w:val="fr-BE"/>
        </w:rPr>
      </w:pPr>
      <w:r w:rsidRPr="00DE2864">
        <w:rPr>
          <w:rFonts w:ascii="Times New Roman" w:eastAsia="Calibri" w:hAnsi="Times New Roman" w:cs="Times New Roman"/>
          <w:sz w:val="24"/>
          <w:szCs w:val="24"/>
          <w:lang w:val="fr-BE"/>
        </w:rPr>
        <w:t>Rapport de révision à l</w:t>
      </w:r>
      <w:r w:rsidR="001E138C">
        <w:rPr>
          <w:rFonts w:ascii="Times New Roman" w:eastAsia="Calibri" w:hAnsi="Times New Roman" w:cs="Times New Roman"/>
          <w:sz w:val="24"/>
          <w:szCs w:val="24"/>
          <w:lang w:val="fr-BE"/>
        </w:rPr>
        <w:t>’</w:t>
      </w:r>
      <w:r w:rsidRPr="00DE2864">
        <w:rPr>
          <w:rFonts w:ascii="Times New Roman" w:eastAsia="Calibri" w:hAnsi="Times New Roman" w:cs="Times New Roman"/>
          <w:sz w:val="24"/>
          <w:szCs w:val="24"/>
          <w:lang w:val="fr-BE"/>
        </w:rPr>
        <w:t>occasion de la première année de mandat</w:t>
      </w:r>
      <w:r>
        <w:rPr>
          <w:rFonts w:ascii="Times New Roman" w:eastAsia="Calibri" w:hAnsi="Times New Roman" w:cs="Times New Roman"/>
          <w:sz w:val="24"/>
          <w:szCs w:val="24"/>
          <w:lang w:val="fr-BE"/>
        </w:rPr>
        <w:tab/>
      </w:r>
      <w:r>
        <w:rPr>
          <w:rFonts w:ascii="Times New Roman" w:eastAsia="Calibri" w:hAnsi="Times New Roman" w:cs="Times New Roman"/>
          <w:sz w:val="24"/>
          <w:szCs w:val="24"/>
          <w:lang w:val="fr-BE"/>
        </w:rPr>
        <w:tab/>
      </w:r>
      <w:r>
        <w:rPr>
          <w:rFonts w:ascii="Times New Roman" w:eastAsia="Calibri" w:hAnsi="Times New Roman" w:cs="Times New Roman"/>
          <w:sz w:val="24"/>
          <w:szCs w:val="24"/>
          <w:lang w:val="fr-BE"/>
        </w:rPr>
        <w:tab/>
        <w:t>599</w:t>
      </w:r>
    </w:p>
    <w:p w14:paraId="249CEFB4" w14:textId="77777777" w:rsidR="00365CDB" w:rsidRPr="00365CDB" w:rsidRDefault="00365CDB" w:rsidP="00365CDB">
      <w:pPr>
        <w:pStyle w:val="ListParagraph"/>
        <w:numPr>
          <w:ilvl w:val="1"/>
          <w:numId w:val="1"/>
        </w:numPr>
        <w:jc w:val="both"/>
        <w:rPr>
          <w:rFonts w:ascii="Times New Roman" w:eastAsia="Calibri" w:hAnsi="Times New Roman" w:cs="Times New Roman"/>
          <w:b/>
          <w:sz w:val="24"/>
          <w:szCs w:val="24"/>
          <w:lang w:val="fr-BE"/>
        </w:rPr>
      </w:pPr>
      <w:r w:rsidRPr="00DE2864">
        <w:rPr>
          <w:rFonts w:ascii="Times New Roman" w:eastAsia="Calibri" w:hAnsi="Times New Roman" w:cs="Times New Roman"/>
          <w:sz w:val="24"/>
          <w:szCs w:val="24"/>
          <w:lang w:val="fr-BE"/>
        </w:rPr>
        <w:t>La société n</w:t>
      </w:r>
      <w:r w:rsidR="001E138C">
        <w:rPr>
          <w:rFonts w:ascii="Times New Roman" w:eastAsia="Calibri" w:hAnsi="Times New Roman" w:cs="Times New Roman"/>
          <w:sz w:val="24"/>
          <w:szCs w:val="24"/>
          <w:lang w:val="fr-BE"/>
        </w:rPr>
        <w:t>’</w:t>
      </w:r>
      <w:r w:rsidRPr="00DE2864">
        <w:rPr>
          <w:rFonts w:ascii="Times New Roman" w:eastAsia="Calibri" w:hAnsi="Times New Roman" w:cs="Times New Roman"/>
          <w:sz w:val="24"/>
          <w:szCs w:val="24"/>
          <w:lang w:val="fr-BE"/>
        </w:rPr>
        <w:t>a pas fait précédemment l</w:t>
      </w:r>
      <w:r w:rsidR="001E138C">
        <w:rPr>
          <w:rFonts w:ascii="Times New Roman" w:eastAsia="Calibri" w:hAnsi="Times New Roman" w:cs="Times New Roman"/>
          <w:sz w:val="24"/>
          <w:szCs w:val="24"/>
          <w:lang w:val="fr-BE"/>
        </w:rPr>
        <w:t>’</w:t>
      </w:r>
      <w:r w:rsidRPr="00DE2864">
        <w:rPr>
          <w:rFonts w:ascii="Times New Roman" w:eastAsia="Calibri" w:hAnsi="Times New Roman" w:cs="Times New Roman"/>
          <w:sz w:val="24"/>
          <w:szCs w:val="24"/>
          <w:lang w:val="fr-BE"/>
        </w:rPr>
        <w:t>objet d</w:t>
      </w:r>
      <w:r w:rsidR="001E138C">
        <w:rPr>
          <w:rFonts w:ascii="Times New Roman" w:eastAsia="Calibri" w:hAnsi="Times New Roman" w:cs="Times New Roman"/>
          <w:sz w:val="24"/>
          <w:szCs w:val="24"/>
          <w:lang w:val="fr-BE"/>
        </w:rPr>
        <w:t>’</w:t>
      </w:r>
      <w:r w:rsidRPr="00DE2864">
        <w:rPr>
          <w:rFonts w:ascii="Times New Roman" w:eastAsia="Calibri" w:hAnsi="Times New Roman" w:cs="Times New Roman"/>
          <w:sz w:val="24"/>
          <w:szCs w:val="24"/>
          <w:lang w:val="fr-BE"/>
        </w:rPr>
        <w:t xml:space="preserve">un contrôle </w:t>
      </w:r>
    </w:p>
    <w:p w14:paraId="249CEFB5" w14:textId="77777777" w:rsidR="00365CDB" w:rsidRDefault="001E138C" w:rsidP="00365CDB">
      <w:pPr>
        <w:pStyle w:val="ListParagraph"/>
        <w:ind w:left="144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conforme aux normes</w:t>
      </w:r>
    </w:p>
    <w:p w14:paraId="249CEFB6" w14:textId="77777777" w:rsidR="00365CDB" w:rsidRPr="00365CDB" w:rsidRDefault="00365CDB" w:rsidP="00365CDB">
      <w:pPr>
        <w:pStyle w:val="ListParagraph"/>
        <w:numPr>
          <w:ilvl w:val="1"/>
          <w:numId w:val="1"/>
        </w:numPr>
        <w:jc w:val="both"/>
        <w:rPr>
          <w:rFonts w:ascii="Times New Roman" w:eastAsia="Calibri" w:hAnsi="Times New Roman" w:cs="Times New Roman"/>
          <w:b/>
          <w:sz w:val="24"/>
          <w:szCs w:val="24"/>
          <w:lang w:val="fr-BE"/>
        </w:rPr>
      </w:pPr>
      <w:r w:rsidRPr="00DE2864">
        <w:rPr>
          <w:rFonts w:ascii="Times New Roman" w:eastAsia="Calibri" w:hAnsi="Times New Roman" w:cs="Times New Roman"/>
          <w:sz w:val="24"/>
          <w:szCs w:val="24"/>
          <w:lang w:val="fr-BE"/>
        </w:rPr>
        <w:t>La société a fait l</w:t>
      </w:r>
      <w:r w:rsidR="001E138C">
        <w:rPr>
          <w:rFonts w:ascii="Times New Roman" w:eastAsia="Calibri" w:hAnsi="Times New Roman" w:cs="Times New Roman"/>
          <w:sz w:val="24"/>
          <w:szCs w:val="24"/>
          <w:lang w:val="fr-BE"/>
        </w:rPr>
        <w:t>’</w:t>
      </w:r>
      <w:r w:rsidRPr="00DE2864">
        <w:rPr>
          <w:rFonts w:ascii="Times New Roman" w:eastAsia="Calibri" w:hAnsi="Times New Roman" w:cs="Times New Roman"/>
          <w:sz w:val="24"/>
          <w:szCs w:val="24"/>
          <w:lang w:val="fr-BE"/>
        </w:rPr>
        <w:t>objet d</w:t>
      </w:r>
      <w:r w:rsidR="001E138C">
        <w:rPr>
          <w:rFonts w:ascii="Times New Roman" w:eastAsia="Calibri" w:hAnsi="Times New Roman" w:cs="Times New Roman"/>
          <w:sz w:val="24"/>
          <w:szCs w:val="24"/>
          <w:lang w:val="fr-BE"/>
        </w:rPr>
        <w:t>’</w:t>
      </w:r>
      <w:r w:rsidRPr="00DE2864">
        <w:rPr>
          <w:rFonts w:ascii="Times New Roman" w:eastAsia="Calibri" w:hAnsi="Times New Roman" w:cs="Times New Roman"/>
          <w:sz w:val="24"/>
          <w:szCs w:val="24"/>
          <w:lang w:val="fr-BE"/>
        </w:rPr>
        <w:t>une r</w:t>
      </w:r>
      <w:r w:rsidR="001E138C">
        <w:rPr>
          <w:rFonts w:ascii="Times New Roman" w:eastAsia="Calibri" w:hAnsi="Times New Roman" w:cs="Times New Roman"/>
          <w:sz w:val="24"/>
          <w:szCs w:val="24"/>
          <w:lang w:val="fr-BE"/>
        </w:rPr>
        <w:t>évision conforme aux normes</w:t>
      </w:r>
    </w:p>
    <w:p w14:paraId="249CEFB7" w14:textId="77777777" w:rsidR="00365CDB" w:rsidRPr="00365CDB" w:rsidRDefault="00365CDB" w:rsidP="00365CDB">
      <w:pPr>
        <w:pStyle w:val="ListParagraph"/>
        <w:numPr>
          <w:ilvl w:val="1"/>
          <w:numId w:val="1"/>
        </w:numPr>
        <w:jc w:val="both"/>
        <w:rPr>
          <w:rFonts w:ascii="Times New Roman" w:eastAsia="Calibri" w:hAnsi="Times New Roman" w:cs="Times New Roman"/>
          <w:b/>
          <w:sz w:val="24"/>
          <w:szCs w:val="24"/>
          <w:lang w:val="fr-BE"/>
        </w:rPr>
      </w:pPr>
      <w:r w:rsidRPr="00DE2864">
        <w:rPr>
          <w:rFonts w:ascii="Times New Roman" w:eastAsia="Calibri" w:hAnsi="Times New Roman" w:cs="Times New Roman"/>
          <w:sz w:val="24"/>
          <w:szCs w:val="24"/>
        </w:rPr>
        <w:t>Nomination tardive du commissaire</w:t>
      </w:r>
    </w:p>
    <w:p w14:paraId="249CEFB8" w14:textId="77777777" w:rsidR="00365CDB" w:rsidRPr="00365CDB" w:rsidRDefault="00365CDB" w:rsidP="00365CDB">
      <w:pPr>
        <w:pStyle w:val="ListParagraph"/>
        <w:ind w:left="1440"/>
        <w:jc w:val="both"/>
        <w:rPr>
          <w:rFonts w:ascii="Times New Roman" w:eastAsia="Calibri" w:hAnsi="Times New Roman" w:cs="Times New Roman"/>
          <w:b/>
          <w:sz w:val="24"/>
          <w:szCs w:val="24"/>
          <w:lang w:val="fr-BE"/>
        </w:rPr>
      </w:pPr>
    </w:p>
    <w:p w14:paraId="249CEFB9" w14:textId="77777777" w:rsidR="00365CDB" w:rsidRPr="00365CDB" w:rsidRDefault="00365CDB" w:rsidP="00365CDB">
      <w:pPr>
        <w:pStyle w:val="ListParagraph"/>
        <w:numPr>
          <w:ilvl w:val="0"/>
          <w:numId w:val="1"/>
        </w:numPr>
        <w:jc w:val="both"/>
        <w:rPr>
          <w:rFonts w:ascii="Times New Roman" w:eastAsia="Calibri" w:hAnsi="Times New Roman" w:cs="Times New Roman"/>
          <w:b/>
          <w:sz w:val="24"/>
          <w:szCs w:val="24"/>
          <w:lang w:val="fr-BE"/>
        </w:rPr>
      </w:pPr>
      <w:r w:rsidRPr="00DE2864">
        <w:rPr>
          <w:rFonts w:ascii="Times New Roman" w:eastAsia="Calibri" w:hAnsi="Times New Roman" w:cs="Times New Roman"/>
          <w:sz w:val="24"/>
          <w:szCs w:val="24"/>
          <w:lang w:val="fr-BE"/>
        </w:rPr>
        <w:t>Mention dans le rapport de révision en cas d</w:t>
      </w:r>
      <w:r w:rsidR="001E138C">
        <w:rPr>
          <w:rFonts w:ascii="Times New Roman" w:eastAsia="Calibri" w:hAnsi="Times New Roman" w:cs="Times New Roman"/>
          <w:sz w:val="24"/>
          <w:szCs w:val="24"/>
          <w:lang w:val="fr-BE"/>
        </w:rPr>
        <w:t>’</w:t>
      </w:r>
      <w:r w:rsidRPr="00DE2864">
        <w:rPr>
          <w:rFonts w:ascii="Times New Roman" w:eastAsia="Calibri" w:hAnsi="Times New Roman" w:cs="Times New Roman"/>
          <w:sz w:val="24"/>
          <w:szCs w:val="24"/>
          <w:lang w:val="fr-BE"/>
        </w:rPr>
        <w:t>infraction au droit des sociétés</w:t>
      </w:r>
      <w:r>
        <w:rPr>
          <w:rFonts w:ascii="Times New Roman" w:eastAsia="Calibri" w:hAnsi="Times New Roman" w:cs="Times New Roman"/>
          <w:sz w:val="24"/>
          <w:szCs w:val="24"/>
          <w:lang w:val="fr-BE"/>
        </w:rPr>
        <w:tab/>
        <w:t>602</w:t>
      </w:r>
    </w:p>
    <w:p w14:paraId="249CEFBA" w14:textId="77777777" w:rsidR="00365CDB" w:rsidRDefault="00365CDB" w:rsidP="00365CDB">
      <w:pPr>
        <w:pStyle w:val="ListParagraph"/>
        <w:numPr>
          <w:ilvl w:val="1"/>
          <w:numId w:val="1"/>
        </w:numPr>
        <w:jc w:val="both"/>
        <w:rPr>
          <w:rFonts w:ascii="Times New Roman" w:eastAsia="Calibri" w:hAnsi="Times New Roman" w:cs="Times New Roman"/>
          <w:sz w:val="24"/>
          <w:szCs w:val="24"/>
          <w:lang w:val="fr-BE"/>
        </w:rPr>
      </w:pPr>
      <w:r w:rsidRPr="00365CDB">
        <w:rPr>
          <w:rFonts w:ascii="Times New Roman" w:eastAsia="Calibri" w:hAnsi="Times New Roman" w:cs="Times New Roman"/>
          <w:sz w:val="24"/>
          <w:szCs w:val="24"/>
          <w:lang w:val="fr-BE"/>
        </w:rPr>
        <w:t>Il doit exister un risque de préjudice</w:t>
      </w:r>
    </w:p>
    <w:p w14:paraId="249CEFBB" w14:textId="77777777" w:rsidR="00365CDB" w:rsidRDefault="00365CDB" w:rsidP="00365CDB">
      <w:pPr>
        <w:pStyle w:val="ListParagraph"/>
        <w:numPr>
          <w:ilvl w:val="1"/>
          <w:numId w:val="1"/>
        </w:numPr>
        <w:jc w:val="both"/>
        <w:rPr>
          <w:rFonts w:ascii="Times New Roman" w:eastAsia="Calibri" w:hAnsi="Times New Roman" w:cs="Times New Roman"/>
          <w:sz w:val="24"/>
          <w:szCs w:val="24"/>
          <w:lang w:val="fr-BE"/>
        </w:rPr>
      </w:pPr>
      <w:r w:rsidRPr="00365CDB">
        <w:rPr>
          <w:rFonts w:ascii="Times New Roman" w:eastAsia="Calibri" w:hAnsi="Times New Roman" w:cs="Times New Roman"/>
          <w:sz w:val="24"/>
          <w:szCs w:val="24"/>
          <w:lang w:val="fr-BE"/>
        </w:rPr>
        <w:t>Que faut-il entendre par correction ?</w:t>
      </w:r>
    </w:p>
    <w:p w14:paraId="249CEFBC" w14:textId="77777777" w:rsidR="00365CDB" w:rsidRDefault="00365CDB" w:rsidP="00365CDB">
      <w:pPr>
        <w:pStyle w:val="ListParagraph"/>
        <w:numPr>
          <w:ilvl w:val="1"/>
          <w:numId w:val="1"/>
        </w:numPr>
        <w:jc w:val="both"/>
        <w:rPr>
          <w:rFonts w:ascii="Times New Roman" w:eastAsia="Calibri" w:hAnsi="Times New Roman" w:cs="Times New Roman"/>
          <w:sz w:val="24"/>
          <w:szCs w:val="24"/>
          <w:lang w:val="fr-BE"/>
        </w:rPr>
      </w:pPr>
      <w:r w:rsidRPr="00365CDB">
        <w:rPr>
          <w:rFonts w:ascii="Times New Roman" w:eastAsia="Calibri" w:hAnsi="Times New Roman" w:cs="Times New Roman"/>
          <w:sz w:val="24"/>
          <w:szCs w:val="24"/>
          <w:lang w:val="fr-BE"/>
        </w:rPr>
        <w:t>Importance relative</w:t>
      </w:r>
    </w:p>
    <w:p w14:paraId="249CEFBD" w14:textId="77777777" w:rsidR="00365CDB" w:rsidRPr="00365CDB" w:rsidRDefault="00365CDB" w:rsidP="00365CDB">
      <w:pPr>
        <w:pStyle w:val="ListParagraph"/>
        <w:numPr>
          <w:ilvl w:val="1"/>
          <w:numId w:val="1"/>
        </w:numPr>
        <w:jc w:val="both"/>
        <w:rPr>
          <w:rFonts w:ascii="Times New Roman" w:eastAsia="Calibri" w:hAnsi="Times New Roman" w:cs="Times New Roman"/>
          <w:sz w:val="24"/>
          <w:szCs w:val="24"/>
          <w:lang w:val="fr-BE"/>
        </w:rPr>
      </w:pPr>
      <w:r w:rsidRPr="00365CDB">
        <w:rPr>
          <w:rFonts w:ascii="Times New Roman" w:eastAsia="Calibri" w:hAnsi="Times New Roman" w:cs="Times New Roman"/>
          <w:sz w:val="24"/>
          <w:szCs w:val="24"/>
          <w:lang w:val="fr-BE"/>
        </w:rPr>
        <w:t>Relation entre le rapport de révision et l</w:t>
      </w:r>
      <w:r w:rsidR="001E138C">
        <w:rPr>
          <w:rFonts w:ascii="Times New Roman" w:eastAsia="Calibri" w:hAnsi="Times New Roman" w:cs="Times New Roman"/>
          <w:sz w:val="24"/>
          <w:szCs w:val="24"/>
          <w:lang w:val="fr-BE"/>
        </w:rPr>
        <w:t>’</w:t>
      </w:r>
      <w:r w:rsidRPr="00365CDB">
        <w:rPr>
          <w:rFonts w:ascii="Times New Roman" w:eastAsia="Calibri" w:hAnsi="Times New Roman" w:cs="Times New Roman"/>
          <w:sz w:val="24"/>
          <w:szCs w:val="24"/>
          <w:lang w:val="fr-BE"/>
        </w:rPr>
        <w:t>information de l</w:t>
      </w:r>
      <w:r w:rsidR="001E138C">
        <w:rPr>
          <w:rFonts w:ascii="Times New Roman" w:eastAsia="Calibri" w:hAnsi="Times New Roman" w:cs="Times New Roman"/>
          <w:sz w:val="24"/>
          <w:szCs w:val="24"/>
          <w:lang w:val="fr-BE"/>
        </w:rPr>
        <w:t>’</w:t>
      </w:r>
      <w:r w:rsidRPr="00365CDB">
        <w:rPr>
          <w:rFonts w:ascii="Times New Roman" w:eastAsia="Calibri" w:hAnsi="Times New Roman" w:cs="Times New Roman"/>
          <w:sz w:val="24"/>
          <w:szCs w:val="24"/>
          <w:lang w:val="fr-BE"/>
        </w:rPr>
        <w:t>assemblée</w:t>
      </w:r>
    </w:p>
    <w:p w14:paraId="249CEFBE" w14:textId="77777777" w:rsidR="00365CDB" w:rsidRDefault="00365CDB" w:rsidP="00365CDB">
      <w:pPr>
        <w:pStyle w:val="ListParagraph"/>
        <w:ind w:left="1440"/>
        <w:jc w:val="both"/>
        <w:rPr>
          <w:rFonts w:ascii="Times New Roman" w:eastAsia="Calibri" w:hAnsi="Times New Roman" w:cs="Times New Roman"/>
          <w:sz w:val="24"/>
          <w:szCs w:val="24"/>
          <w:lang w:val="fr-BE"/>
        </w:rPr>
      </w:pPr>
      <w:r w:rsidRPr="00365CDB">
        <w:rPr>
          <w:rFonts w:ascii="Times New Roman" w:eastAsia="Calibri" w:hAnsi="Times New Roman" w:cs="Times New Roman"/>
          <w:sz w:val="24"/>
          <w:szCs w:val="24"/>
          <w:lang w:val="fr-BE"/>
        </w:rPr>
        <w:t>générale</w:t>
      </w:r>
    </w:p>
    <w:p w14:paraId="249CEFBF" w14:textId="77777777" w:rsidR="00365CDB" w:rsidRPr="00365CDB" w:rsidRDefault="00365CDB" w:rsidP="00365CDB">
      <w:pPr>
        <w:pStyle w:val="ListParagraph"/>
        <w:ind w:left="1440"/>
        <w:jc w:val="both"/>
        <w:rPr>
          <w:rFonts w:ascii="Times New Roman" w:eastAsia="Calibri" w:hAnsi="Times New Roman" w:cs="Times New Roman"/>
          <w:sz w:val="24"/>
          <w:szCs w:val="24"/>
          <w:lang w:val="fr-BE"/>
        </w:rPr>
      </w:pPr>
    </w:p>
    <w:p w14:paraId="249CEFC0" w14:textId="77777777" w:rsidR="00365CDB" w:rsidRPr="00365CDB" w:rsidRDefault="00365CDB" w:rsidP="00365CDB">
      <w:pPr>
        <w:pStyle w:val="ListParagraph"/>
        <w:numPr>
          <w:ilvl w:val="0"/>
          <w:numId w:val="1"/>
        </w:numPr>
        <w:jc w:val="both"/>
        <w:rPr>
          <w:rFonts w:ascii="Times New Roman" w:eastAsia="Calibri" w:hAnsi="Times New Roman" w:cs="Times New Roman"/>
          <w:b/>
          <w:sz w:val="24"/>
          <w:szCs w:val="24"/>
          <w:lang w:val="fr-BE"/>
        </w:rPr>
      </w:pPr>
      <w:r w:rsidRPr="00DE2864">
        <w:rPr>
          <w:rFonts w:ascii="Times New Roman" w:eastAsia="Calibri" w:hAnsi="Times New Roman" w:cs="Times New Roman"/>
          <w:sz w:val="24"/>
          <w:szCs w:val="24"/>
          <w:lang w:val="fr-BE"/>
        </w:rPr>
        <w:t>Evénements survenus après la clôture de l</w:t>
      </w:r>
      <w:r w:rsidR="001E138C">
        <w:rPr>
          <w:rFonts w:ascii="Times New Roman" w:eastAsia="Calibri" w:hAnsi="Times New Roman" w:cs="Times New Roman"/>
          <w:sz w:val="24"/>
          <w:szCs w:val="24"/>
          <w:lang w:val="fr-BE"/>
        </w:rPr>
        <w:t>’</w:t>
      </w:r>
      <w:r w:rsidRPr="00DE2864">
        <w:rPr>
          <w:rFonts w:ascii="Times New Roman" w:eastAsia="Calibri" w:hAnsi="Times New Roman" w:cs="Times New Roman"/>
          <w:sz w:val="24"/>
          <w:szCs w:val="24"/>
          <w:lang w:val="fr-BE"/>
        </w:rPr>
        <w:t>exercice</w:t>
      </w:r>
      <w:r>
        <w:rPr>
          <w:rFonts w:ascii="Times New Roman" w:eastAsia="Calibri" w:hAnsi="Times New Roman" w:cs="Times New Roman"/>
          <w:sz w:val="24"/>
          <w:szCs w:val="24"/>
          <w:lang w:val="fr-BE"/>
        </w:rPr>
        <w:tab/>
      </w:r>
      <w:r>
        <w:rPr>
          <w:rFonts w:ascii="Times New Roman" w:eastAsia="Calibri" w:hAnsi="Times New Roman" w:cs="Times New Roman"/>
          <w:sz w:val="24"/>
          <w:szCs w:val="24"/>
          <w:lang w:val="fr-BE"/>
        </w:rPr>
        <w:tab/>
      </w:r>
      <w:r>
        <w:rPr>
          <w:rFonts w:ascii="Times New Roman" w:eastAsia="Calibri" w:hAnsi="Times New Roman" w:cs="Times New Roman"/>
          <w:sz w:val="24"/>
          <w:szCs w:val="24"/>
          <w:lang w:val="fr-BE"/>
        </w:rPr>
        <w:tab/>
      </w:r>
      <w:r>
        <w:rPr>
          <w:rFonts w:ascii="Times New Roman" w:eastAsia="Calibri" w:hAnsi="Times New Roman" w:cs="Times New Roman"/>
          <w:sz w:val="24"/>
          <w:szCs w:val="24"/>
          <w:lang w:val="fr-BE"/>
        </w:rPr>
        <w:tab/>
      </w:r>
      <w:r>
        <w:rPr>
          <w:rFonts w:ascii="Times New Roman" w:eastAsia="Calibri" w:hAnsi="Times New Roman" w:cs="Times New Roman"/>
          <w:sz w:val="24"/>
          <w:szCs w:val="24"/>
          <w:lang w:val="fr-BE"/>
        </w:rPr>
        <w:tab/>
        <w:t>607</w:t>
      </w:r>
    </w:p>
    <w:p w14:paraId="249CEFC1" w14:textId="77777777" w:rsidR="00365CDB" w:rsidRPr="00365CDB" w:rsidRDefault="00365CDB" w:rsidP="00365CDB">
      <w:pPr>
        <w:pStyle w:val="ListParagraph"/>
        <w:numPr>
          <w:ilvl w:val="1"/>
          <w:numId w:val="1"/>
        </w:numPr>
        <w:jc w:val="both"/>
        <w:rPr>
          <w:rFonts w:ascii="Times New Roman" w:eastAsia="Calibri" w:hAnsi="Times New Roman" w:cs="Times New Roman"/>
          <w:b/>
          <w:sz w:val="24"/>
          <w:szCs w:val="24"/>
          <w:lang w:val="fr-BE"/>
        </w:rPr>
      </w:pPr>
      <w:r w:rsidRPr="00DE2864">
        <w:rPr>
          <w:rFonts w:ascii="Times New Roman" w:eastAsia="Calibri" w:hAnsi="Times New Roman" w:cs="Times New Roman"/>
          <w:sz w:val="24"/>
          <w:szCs w:val="24"/>
        </w:rPr>
        <w:t>Généralités</w:t>
      </w:r>
    </w:p>
    <w:p w14:paraId="249CEFC2" w14:textId="77777777" w:rsidR="00365CDB" w:rsidRPr="00365CDB" w:rsidRDefault="00365CDB" w:rsidP="00365CDB">
      <w:pPr>
        <w:pStyle w:val="ListParagraph"/>
        <w:numPr>
          <w:ilvl w:val="1"/>
          <w:numId w:val="1"/>
        </w:numPr>
        <w:jc w:val="both"/>
        <w:rPr>
          <w:rFonts w:ascii="Times New Roman" w:eastAsia="Calibri" w:hAnsi="Times New Roman" w:cs="Times New Roman"/>
          <w:b/>
          <w:sz w:val="24"/>
          <w:szCs w:val="24"/>
          <w:lang w:val="fr-BE"/>
        </w:rPr>
      </w:pPr>
      <w:r w:rsidRPr="00DE2864">
        <w:rPr>
          <w:rFonts w:ascii="Times New Roman" w:eastAsia="Calibri" w:hAnsi="Times New Roman" w:cs="Times New Roman"/>
          <w:sz w:val="24"/>
          <w:szCs w:val="24"/>
          <w:lang w:val="fr-BE"/>
        </w:rPr>
        <w:t>Modifications des comptes après la signature du rapport de révision</w:t>
      </w:r>
    </w:p>
    <w:p w14:paraId="249CEFC3" w14:textId="77777777" w:rsidR="00365CDB" w:rsidRPr="00365CDB" w:rsidRDefault="00365CDB" w:rsidP="00365CDB">
      <w:pPr>
        <w:pStyle w:val="ListParagraph"/>
        <w:ind w:left="1440"/>
        <w:jc w:val="both"/>
        <w:rPr>
          <w:rFonts w:ascii="Times New Roman" w:eastAsia="Calibri" w:hAnsi="Times New Roman" w:cs="Times New Roman"/>
          <w:b/>
          <w:sz w:val="24"/>
          <w:szCs w:val="24"/>
          <w:lang w:val="fr-BE"/>
        </w:rPr>
      </w:pPr>
    </w:p>
    <w:p w14:paraId="249CEFC4" w14:textId="77777777" w:rsidR="00365CDB" w:rsidRPr="00365CDB" w:rsidRDefault="00365CDB" w:rsidP="00365CDB">
      <w:pPr>
        <w:pStyle w:val="ListParagraph"/>
        <w:numPr>
          <w:ilvl w:val="0"/>
          <w:numId w:val="1"/>
        </w:numPr>
        <w:jc w:val="both"/>
        <w:rPr>
          <w:rFonts w:ascii="Times New Roman" w:eastAsia="Calibri" w:hAnsi="Times New Roman" w:cs="Times New Roman"/>
          <w:b/>
          <w:sz w:val="24"/>
          <w:szCs w:val="24"/>
          <w:lang w:val="fr-BE"/>
        </w:rPr>
      </w:pPr>
      <w:r w:rsidRPr="00365CDB">
        <w:rPr>
          <w:rFonts w:ascii="Times New Roman" w:eastAsia="Calibri" w:hAnsi="Times New Roman" w:cs="Times New Roman"/>
          <w:sz w:val="24"/>
          <w:szCs w:val="24"/>
          <w:lang w:val="fr-FR"/>
        </w:rPr>
        <w:t>Rapport de carence et fin du mandat</w:t>
      </w:r>
      <w:r w:rsidRPr="00365CDB">
        <w:rPr>
          <w:rFonts w:ascii="Times New Roman" w:eastAsia="Calibri" w:hAnsi="Times New Roman" w:cs="Times New Roman"/>
          <w:sz w:val="24"/>
          <w:szCs w:val="24"/>
          <w:lang w:val="fr-FR"/>
        </w:rPr>
        <w:tab/>
      </w:r>
      <w:r>
        <w:rPr>
          <w:rFonts w:ascii="Times New Roman" w:eastAsia="Calibri" w:hAnsi="Times New Roman" w:cs="Times New Roman"/>
          <w:sz w:val="24"/>
          <w:szCs w:val="24"/>
          <w:lang w:val="fr-FR"/>
        </w:rPr>
        <w:tab/>
      </w:r>
      <w:r>
        <w:rPr>
          <w:rFonts w:ascii="Times New Roman" w:eastAsia="Calibri" w:hAnsi="Times New Roman" w:cs="Times New Roman"/>
          <w:sz w:val="24"/>
          <w:szCs w:val="24"/>
          <w:lang w:val="fr-FR"/>
        </w:rPr>
        <w:tab/>
      </w:r>
      <w:r>
        <w:rPr>
          <w:rFonts w:ascii="Times New Roman" w:eastAsia="Calibri" w:hAnsi="Times New Roman" w:cs="Times New Roman"/>
          <w:sz w:val="24"/>
          <w:szCs w:val="24"/>
          <w:lang w:val="fr-FR"/>
        </w:rPr>
        <w:tab/>
      </w:r>
      <w:r>
        <w:rPr>
          <w:rFonts w:ascii="Times New Roman" w:eastAsia="Calibri" w:hAnsi="Times New Roman" w:cs="Times New Roman"/>
          <w:sz w:val="24"/>
          <w:szCs w:val="24"/>
          <w:lang w:val="fr-FR"/>
        </w:rPr>
        <w:tab/>
      </w:r>
      <w:r>
        <w:rPr>
          <w:rFonts w:ascii="Times New Roman" w:eastAsia="Calibri" w:hAnsi="Times New Roman" w:cs="Times New Roman"/>
          <w:sz w:val="24"/>
          <w:szCs w:val="24"/>
          <w:lang w:val="fr-FR"/>
        </w:rPr>
        <w:tab/>
      </w:r>
      <w:r>
        <w:rPr>
          <w:rFonts w:ascii="Times New Roman" w:eastAsia="Calibri" w:hAnsi="Times New Roman" w:cs="Times New Roman"/>
          <w:sz w:val="24"/>
          <w:szCs w:val="24"/>
          <w:lang w:val="fr-FR"/>
        </w:rPr>
        <w:tab/>
        <w:t>611</w:t>
      </w:r>
    </w:p>
    <w:p w14:paraId="249CEFC5" w14:textId="77777777" w:rsidR="00365CDB" w:rsidRPr="00365CDB" w:rsidRDefault="00365CDB" w:rsidP="00365CDB">
      <w:pPr>
        <w:pStyle w:val="ListParagraph"/>
        <w:jc w:val="both"/>
        <w:rPr>
          <w:rFonts w:ascii="Times New Roman" w:eastAsia="Calibri" w:hAnsi="Times New Roman" w:cs="Times New Roman"/>
          <w:b/>
          <w:sz w:val="24"/>
          <w:szCs w:val="24"/>
          <w:lang w:val="fr-BE"/>
        </w:rPr>
      </w:pPr>
    </w:p>
    <w:p w14:paraId="249CEFC6" w14:textId="77777777" w:rsidR="00365CDB" w:rsidRPr="00365CDB" w:rsidRDefault="00365CDB" w:rsidP="00365CDB">
      <w:pPr>
        <w:pStyle w:val="ListParagraph"/>
        <w:numPr>
          <w:ilvl w:val="0"/>
          <w:numId w:val="1"/>
        </w:numPr>
        <w:jc w:val="both"/>
        <w:rPr>
          <w:rFonts w:ascii="Times New Roman" w:eastAsia="Calibri" w:hAnsi="Times New Roman" w:cs="Times New Roman"/>
          <w:b/>
          <w:sz w:val="24"/>
          <w:szCs w:val="24"/>
          <w:lang w:val="fr-BE"/>
        </w:rPr>
      </w:pPr>
      <w:r w:rsidRPr="00DE2864">
        <w:rPr>
          <w:rFonts w:ascii="Times New Roman" w:eastAsia="Calibri" w:hAnsi="Times New Roman" w:cs="Times New Roman"/>
          <w:sz w:val="24"/>
          <w:szCs w:val="24"/>
        </w:rPr>
        <w:t>Signature du rapport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612</w:t>
      </w:r>
    </w:p>
    <w:p w14:paraId="249CEFC7" w14:textId="77777777" w:rsidR="00365CDB" w:rsidRDefault="00365CDB" w:rsidP="00365CDB">
      <w:pPr>
        <w:pStyle w:val="ListParagraph"/>
        <w:numPr>
          <w:ilvl w:val="1"/>
          <w:numId w:val="1"/>
        </w:numPr>
        <w:jc w:val="both"/>
        <w:rPr>
          <w:rFonts w:ascii="Times New Roman" w:eastAsia="Calibri" w:hAnsi="Times New Roman" w:cs="Times New Roman"/>
          <w:sz w:val="24"/>
          <w:szCs w:val="24"/>
          <w:lang w:val="fr-BE"/>
        </w:rPr>
      </w:pPr>
      <w:r w:rsidRPr="00365CDB">
        <w:rPr>
          <w:rFonts w:ascii="Times New Roman" w:eastAsia="Calibri" w:hAnsi="Times New Roman" w:cs="Times New Roman"/>
          <w:sz w:val="24"/>
          <w:szCs w:val="24"/>
          <w:lang w:val="fr-BE"/>
        </w:rPr>
        <w:t>Délégation de signature</w:t>
      </w:r>
    </w:p>
    <w:p w14:paraId="249CEFC8" w14:textId="77777777" w:rsidR="00365CDB" w:rsidRDefault="00365CDB" w:rsidP="00365CDB">
      <w:pPr>
        <w:pStyle w:val="ListParagraph"/>
        <w:numPr>
          <w:ilvl w:val="1"/>
          <w:numId w:val="1"/>
        </w:numPr>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Rapport lorsqu</w:t>
      </w:r>
      <w:r w:rsidR="001E138C">
        <w:rPr>
          <w:rFonts w:ascii="Times New Roman" w:eastAsia="Calibri" w:hAnsi="Times New Roman" w:cs="Times New Roman"/>
          <w:sz w:val="24"/>
          <w:szCs w:val="24"/>
          <w:lang w:val="fr-BE"/>
        </w:rPr>
        <w:t>’</w:t>
      </w:r>
      <w:r>
        <w:rPr>
          <w:rFonts w:ascii="Times New Roman" w:eastAsia="Calibri" w:hAnsi="Times New Roman" w:cs="Times New Roman"/>
          <w:sz w:val="24"/>
          <w:szCs w:val="24"/>
          <w:lang w:val="fr-BE"/>
        </w:rPr>
        <w:t>un commissaire suppléant intervient</w:t>
      </w:r>
    </w:p>
    <w:p w14:paraId="249CEFC9" w14:textId="77777777" w:rsidR="00365CDB" w:rsidRDefault="00365CDB" w:rsidP="00365CDB">
      <w:pPr>
        <w:pStyle w:val="ListParagraph"/>
        <w:numPr>
          <w:ilvl w:val="1"/>
          <w:numId w:val="1"/>
        </w:numPr>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Rapport commun établi par les réviseurs d</w:t>
      </w:r>
      <w:r w:rsidR="001E138C">
        <w:rPr>
          <w:rFonts w:ascii="Times New Roman" w:eastAsia="Calibri" w:hAnsi="Times New Roman" w:cs="Times New Roman"/>
          <w:sz w:val="24"/>
          <w:szCs w:val="24"/>
          <w:lang w:val="fr-BE"/>
        </w:rPr>
        <w:t>’</w:t>
      </w:r>
      <w:r>
        <w:rPr>
          <w:rFonts w:ascii="Times New Roman" w:eastAsia="Calibri" w:hAnsi="Times New Roman" w:cs="Times New Roman"/>
          <w:sz w:val="24"/>
          <w:szCs w:val="24"/>
          <w:lang w:val="fr-BE"/>
        </w:rPr>
        <w:t>entreprises et les membres</w:t>
      </w:r>
    </w:p>
    <w:p w14:paraId="249CEFCA" w14:textId="77777777" w:rsidR="00365CDB" w:rsidRDefault="00365CDB" w:rsidP="00365CDB">
      <w:pPr>
        <w:pStyle w:val="ListParagraph"/>
        <w:ind w:left="1440"/>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 xml:space="preserve">de la Cour </w:t>
      </w:r>
      <w:r w:rsidR="001E138C">
        <w:rPr>
          <w:rFonts w:ascii="Times New Roman" w:eastAsia="Calibri" w:hAnsi="Times New Roman" w:cs="Times New Roman"/>
          <w:sz w:val="24"/>
          <w:szCs w:val="24"/>
          <w:lang w:val="fr-BE"/>
        </w:rPr>
        <w:t>des c</w:t>
      </w:r>
      <w:r>
        <w:rPr>
          <w:rFonts w:ascii="Times New Roman" w:eastAsia="Calibri" w:hAnsi="Times New Roman" w:cs="Times New Roman"/>
          <w:sz w:val="24"/>
          <w:szCs w:val="24"/>
          <w:lang w:val="fr-BE"/>
        </w:rPr>
        <w:t>omptes</w:t>
      </w:r>
    </w:p>
    <w:p w14:paraId="249CEFCB" w14:textId="77777777" w:rsidR="00800C21" w:rsidRDefault="00800C21" w:rsidP="00800C21">
      <w:pPr>
        <w:pStyle w:val="ListParagraph"/>
        <w:jc w:val="both"/>
        <w:rPr>
          <w:rFonts w:ascii="Times New Roman" w:eastAsia="Calibri" w:hAnsi="Times New Roman" w:cs="Times New Roman"/>
          <w:sz w:val="24"/>
          <w:szCs w:val="24"/>
          <w:lang w:val="fr-BE"/>
        </w:rPr>
      </w:pPr>
    </w:p>
    <w:p w14:paraId="249CEFCC" w14:textId="77777777" w:rsidR="00800C21" w:rsidRPr="00800C21" w:rsidRDefault="00800C21" w:rsidP="00800C21">
      <w:pPr>
        <w:pStyle w:val="ListParagraph"/>
        <w:numPr>
          <w:ilvl w:val="0"/>
          <w:numId w:val="6"/>
        </w:numPr>
        <w:jc w:val="both"/>
        <w:rPr>
          <w:rFonts w:ascii="Times New Roman" w:eastAsia="Calibri" w:hAnsi="Times New Roman" w:cs="Times New Roman"/>
          <w:sz w:val="24"/>
          <w:szCs w:val="24"/>
          <w:lang w:val="fr-BE"/>
        </w:rPr>
      </w:pPr>
      <w:r w:rsidRPr="00800C21">
        <w:rPr>
          <w:rFonts w:ascii="Times New Roman" w:eastAsia="Calibri" w:hAnsi="Times New Roman" w:cs="Times New Roman"/>
          <w:sz w:val="24"/>
          <w:szCs w:val="24"/>
          <w:lang w:val="fr-BE"/>
        </w:rPr>
        <w:t>Lettre d</w:t>
      </w:r>
      <w:r w:rsidR="001E138C">
        <w:rPr>
          <w:rFonts w:ascii="Times New Roman" w:eastAsia="Calibri" w:hAnsi="Times New Roman" w:cs="Times New Roman"/>
          <w:sz w:val="24"/>
          <w:szCs w:val="24"/>
          <w:lang w:val="fr-BE"/>
        </w:rPr>
        <w:t>’</w:t>
      </w:r>
      <w:r w:rsidRPr="00800C21">
        <w:rPr>
          <w:rFonts w:ascii="Times New Roman" w:eastAsia="Calibri" w:hAnsi="Times New Roman" w:cs="Times New Roman"/>
          <w:sz w:val="24"/>
          <w:szCs w:val="24"/>
          <w:lang w:val="fr-BE"/>
        </w:rPr>
        <w:t>affirmation</w:t>
      </w:r>
      <w:r>
        <w:rPr>
          <w:rFonts w:ascii="Times New Roman" w:eastAsia="Calibri" w:hAnsi="Times New Roman" w:cs="Times New Roman"/>
          <w:sz w:val="24"/>
          <w:szCs w:val="24"/>
          <w:lang w:val="fr-BE"/>
        </w:rPr>
        <w:tab/>
      </w:r>
      <w:r>
        <w:rPr>
          <w:rFonts w:ascii="Times New Roman" w:eastAsia="Calibri" w:hAnsi="Times New Roman" w:cs="Times New Roman"/>
          <w:sz w:val="24"/>
          <w:szCs w:val="24"/>
          <w:lang w:val="fr-BE"/>
        </w:rPr>
        <w:tab/>
      </w:r>
      <w:r>
        <w:rPr>
          <w:rFonts w:ascii="Times New Roman" w:eastAsia="Calibri" w:hAnsi="Times New Roman" w:cs="Times New Roman"/>
          <w:sz w:val="24"/>
          <w:szCs w:val="24"/>
          <w:lang w:val="fr-BE"/>
        </w:rPr>
        <w:tab/>
      </w:r>
      <w:r>
        <w:rPr>
          <w:rFonts w:ascii="Times New Roman" w:eastAsia="Calibri" w:hAnsi="Times New Roman" w:cs="Times New Roman"/>
          <w:sz w:val="24"/>
          <w:szCs w:val="24"/>
          <w:lang w:val="fr-BE"/>
        </w:rPr>
        <w:tab/>
      </w:r>
      <w:r>
        <w:rPr>
          <w:rFonts w:ascii="Times New Roman" w:eastAsia="Calibri" w:hAnsi="Times New Roman" w:cs="Times New Roman"/>
          <w:sz w:val="24"/>
          <w:szCs w:val="24"/>
          <w:lang w:val="fr-BE"/>
        </w:rPr>
        <w:tab/>
      </w:r>
      <w:r>
        <w:rPr>
          <w:rFonts w:ascii="Times New Roman" w:eastAsia="Calibri" w:hAnsi="Times New Roman" w:cs="Times New Roman"/>
          <w:sz w:val="24"/>
          <w:szCs w:val="24"/>
          <w:lang w:val="fr-BE"/>
        </w:rPr>
        <w:tab/>
      </w:r>
      <w:r>
        <w:rPr>
          <w:rFonts w:ascii="Times New Roman" w:eastAsia="Calibri" w:hAnsi="Times New Roman" w:cs="Times New Roman"/>
          <w:sz w:val="24"/>
          <w:szCs w:val="24"/>
          <w:lang w:val="fr-BE"/>
        </w:rPr>
        <w:tab/>
      </w:r>
      <w:r>
        <w:rPr>
          <w:rFonts w:ascii="Times New Roman" w:eastAsia="Calibri" w:hAnsi="Times New Roman" w:cs="Times New Roman"/>
          <w:sz w:val="24"/>
          <w:szCs w:val="24"/>
          <w:lang w:val="fr-BE"/>
        </w:rPr>
        <w:tab/>
      </w:r>
      <w:r>
        <w:rPr>
          <w:rFonts w:ascii="Times New Roman" w:eastAsia="Calibri" w:hAnsi="Times New Roman" w:cs="Times New Roman"/>
          <w:sz w:val="24"/>
          <w:szCs w:val="24"/>
          <w:lang w:val="fr-BE"/>
        </w:rPr>
        <w:tab/>
      </w:r>
      <w:r w:rsidRPr="00800C21">
        <w:rPr>
          <w:rFonts w:ascii="Times New Roman" w:eastAsia="Calibri" w:hAnsi="Times New Roman" w:cs="Times New Roman"/>
          <w:sz w:val="24"/>
          <w:szCs w:val="24"/>
          <w:lang w:val="fr-BE"/>
        </w:rPr>
        <w:t xml:space="preserve"> 619</w:t>
      </w:r>
    </w:p>
    <w:p w14:paraId="249CEFCD" w14:textId="77777777" w:rsidR="00800C21" w:rsidRDefault="00800C21" w:rsidP="00800C21">
      <w:pPr>
        <w:pStyle w:val="ListParagraph"/>
        <w:numPr>
          <w:ilvl w:val="1"/>
          <w:numId w:val="6"/>
        </w:numPr>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Principe</w:t>
      </w:r>
    </w:p>
    <w:p w14:paraId="249CEFCE" w14:textId="77777777" w:rsidR="00800C21" w:rsidRDefault="00800C21" w:rsidP="00800C21">
      <w:pPr>
        <w:pStyle w:val="ListParagraph"/>
        <w:numPr>
          <w:ilvl w:val="1"/>
          <w:numId w:val="6"/>
        </w:numPr>
        <w:jc w:val="both"/>
        <w:rPr>
          <w:rFonts w:ascii="Times New Roman" w:eastAsia="Calibri" w:hAnsi="Times New Roman" w:cs="Times New Roman"/>
          <w:sz w:val="24"/>
          <w:szCs w:val="24"/>
          <w:lang w:val="fr-BE"/>
        </w:rPr>
      </w:pPr>
      <w:r w:rsidRPr="00800C21">
        <w:rPr>
          <w:rFonts w:ascii="Times New Roman" w:eastAsia="Calibri" w:hAnsi="Times New Roman" w:cs="Times New Roman"/>
          <w:sz w:val="24"/>
          <w:szCs w:val="24"/>
          <w:lang w:val="fr-BE"/>
        </w:rPr>
        <w:t>Responsabilité des signataires</w:t>
      </w:r>
    </w:p>
    <w:p w14:paraId="249CEFCF" w14:textId="77777777" w:rsidR="00800C21" w:rsidRDefault="00800C21" w:rsidP="00800C21">
      <w:pPr>
        <w:pStyle w:val="ListParagraph"/>
        <w:numPr>
          <w:ilvl w:val="2"/>
          <w:numId w:val="6"/>
        </w:numPr>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R</w:t>
      </w:r>
      <w:r w:rsidRPr="00800C21">
        <w:rPr>
          <w:rFonts w:ascii="Times New Roman" w:eastAsia="Calibri" w:hAnsi="Times New Roman" w:cs="Times New Roman"/>
          <w:sz w:val="24"/>
          <w:szCs w:val="24"/>
          <w:lang w:val="fr-BE"/>
        </w:rPr>
        <w:t>esponsabilité des signataires de la le</w:t>
      </w:r>
      <w:r>
        <w:rPr>
          <w:rFonts w:ascii="Times New Roman" w:eastAsia="Calibri" w:hAnsi="Times New Roman" w:cs="Times New Roman"/>
          <w:sz w:val="24"/>
          <w:szCs w:val="24"/>
          <w:lang w:val="fr-BE"/>
        </w:rPr>
        <w:t>ttre d</w:t>
      </w:r>
      <w:r w:rsidR="001E138C">
        <w:rPr>
          <w:rFonts w:ascii="Times New Roman" w:eastAsia="Calibri" w:hAnsi="Times New Roman" w:cs="Times New Roman"/>
          <w:sz w:val="24"/>
          <w:szCs w:val="24"/>
          <w:lang w:val="fr-BE"/>
        </w:rPr>
        <w:t>’</w:t>
      </w:r>
      <w:r>
        <w:rPr>
          <w:rFonts w:ascii="Times New Roman" w:eastAsia="Calibri" w:hAnsi="Times New Roman" w:cs="Times New Roman"/>
          <w:sz w:val="24"/>
          <w:szCs w:val="24"/>
          <w:lang w:val="fr-BE"/>
        </w:rPr>
        <w:t>affirmation</w:t>
      </w:r>
    </w:p>
    <w:p w14:paraId="249CEFD0" w14:textId="77777777" w:rsidR="00800C21" w:rsidRDefault="00800C21" w:rsidP="00800C21">
      <w:pPr>
        <w:pStyle w:val="ListParagraph"/>
        <w:numPr>
          <w:ilvl w:val="2"/>
          <w:numId w:val="6"/>
        </w:numPr>
        <w:jc w:val="both"/>
        <w:rPr>
          <w:rFonts w:ascii="Times New Roman" w:eastAsia="Calibri" w:hAnsi="Times New Roman" w:cs="Times New Roman"/>
          <w:sz w:val="24"/>
          <w:szCs w:val="24"/>
          <w:lang w:val="fr-BE"/>
        </w:rPr>
      </w:pPr>
      <w:r w:rsidRPr="00800C21">
        <w:rPr>
          <w:rFonts w:ascii="Times New Roman" w:eastAsia="Calibri" w:hAnsi="Times New Roman" w:cs="Times New Roman"/>
          <w:sz w:val="24"/>
          <w:szCs w:val="24"/>
          <w:lang w:val="fr-BE"/>
        </w:rPr>
        <w:t>Responsabilité de la société auditée</w:t>
      </w:r>
    </w:p>
    <w:p w14:paraId="249CEFD1" w14:textId="77777777" w:rsidR="00800C21" w:rsidRDefault="00800C21" w:rsidP="00800C21">
      <w:pPr>
        <w:pStyle w:val="ListParagraph"/>
        <w:numPr>
          <w:ilvl w:val="2"/>
          <w:numId w:val="6"/>
        </w:numPr>
        <w:jc w:val="both"/>
        <w:rPr>
          <w:rFonts w:ascii="Times New Roman" w:eastAsia="Calibri" w:hAnsi="Times New Roman" w:cs="Times New Roman"/>
          <w:sz w:val="24"/>
          <w:szCs w:val="24"/>
          <w:lang w:val="fr-BE"/>
        </w:rPr>
      </w:pPr>
      <w:r w:rsidRPr="00800C21">
        <w:rPr>
          <w:rFonts w:ascii="Times New Roman" w:eastAsia="Calibri" w:hAnsi="Times New Roman" w:cs="Times New Roman"/>
          <w:sz w:val="24"/>
          <w:szCs w:val="24"/>
          <w:lang w:val="fr-BE"/>
        </w:rPr>
        <w:t>Secret professionnel</w:t>
      </w:r>
    </w:p>
    <w:p w14:paraId="249CEFD2" w14:textId="77777777" w:rsidR="00800C21" w:rsidRDefault="00800C21" w:rsidP="00800C21">
      <w:pPr>
        <w:pStyle w:val="ListParagraph"/>
        <w:numPr>
          <w:ilvl w:val="2"/>
          <w:numId w:val="6"/>
        </w:numPr>
        <w:jc w:val="both"/>
        <w:rPr>
          <w:rFonts w:ascii="Times New Roman" w:eastAsia="Calibri" w:hAnsi="Times New Roman" w:cs="Times New Roman"/>
          <w:sz w:val="24"/>
          <w:szCs w:val="24"/>
          <w:lang w:val="fr-BE"/>
        </w:rPr>
      </w:pPr>
      <w:r w:rsidRPr="00800C21">
        <w:rPr>
          <w:rFonts w:ascii="Times New Roman" w:eastAsia="Calibri" w:hAnsi="Times New Roman" w:cs="Times New Roman"/>
          <w:sz w:val="24"/>
          <w:szCs w:val="24"/>
          <w:lang w:val="fr-BE"/>
        </w:rPr>
        <w:t>Refus de signer la lettre d</w:t>
      </w:r>
      <w:r w:rsidR="001E138C">
        <w:rPr>
          <w:rFonts w:ascii="Times New Roman" w:eastAsia="Calibri" w:hAnsi="Times New Roman" w:cs="Times New Roman"/>
          <w:sz w:val="24"/>
          <w:szCs w:val="24"/>
          <w:lang w:val="fr-BE"/>
        </w:rPr>
        <w:t>’</w:t>
      </w:r>
      <w:r w:rsidRPr="00800C21">
        <w:rPr>
          <w:rFonts w:ascii="Times New Roman" w:eastAsia="Calibri" w:hAnsi="Times New Roman" w:cs="Times New Roman"/>
          <w:sz w:val="24"/>
          <w:szCs w:val="24"/>
          <w:lang w:val="fr-BE"/>
        </w:rPr>
        <w:t>affirmation</w:t>
      </w:r>
    </w:p>
    <w:p w14:paraId="249CEFD3" w14:textId="77777777" w:rsidR="00800C21" w:rsidRDefault="00800C21" w:rsidP="00800C21">
      <w:pPr>
        <w:pStyle w:val="ListParagraph"/>
        <w:numPr>
          <w:ilvl w:val="2"/>
          <w:numId w:val="6"/>
        </w:numPr>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Notion de « garantie »</w:t>
      </w:r>
    </w:p>
    <w:p w14:paraId="249CEFD4" w14:textId="77777777" w:rsidR="00800C21" w:rsidRPr="00800C21" w:rsidRDefault="00800C21" w:rsidP="00800C21">
      <w:pPr>
        <w:pStyle w:val="ListParagraph"/>
        <w:jc w:val="both"/>
        <w:rPr>
          <w:rFonts w:ascii="Times New Roman" w:eastAsia="Calibri" w:hAnsi="Times New Roman" w:cs="Times New Roman"/>
          <w:sz w:val="24"/>
          <w:szCs w:val="24"/>
          <w:lang w:val="fr-BE"/>
        </w:rPr>
      </w:pPr>
    </w:p>
    <w:p w14:paraId="249CEFD5" w14:textId="77777777" w:rsidR="00623AAE" w:rsidRDefault="00623AAE" w:rsidP="00623AAE">
      <w:pPr>
        <w:pStyle w:val="ListParagraph"/>
        <w:jc w:val="both"/>
        <w:rPr>
          <w:rFonts w:ascii="Times New Roman" w:eastAsia="Calibri" w:hAnsi="Times New Roman" w:cs="Times New Roman"/>
          <w:sz w:val="24"/>
          <w:szCs w:val="24"/>
          <w:lang w:val="fr-BE"/>
        </w:rPr>
      </w:pPr>
    </w:p>
    <w:p w14:paraId="249CEFD6" w14:textId="77777777" w:rsidR="00800C21" w:rsidRPr="00D914E0" w:rsidRDefault="00800C21" w:rsidP="00800C21">
      <w:pPr>
        <w:pStyle w:val="ListParagraph"/>
        <w:numPr>
          <w:ilvl w:val="0"/>
          <w:numId w:val="2"/>
        </w:numPr>
        <w:jc w:val="both"/>
        <w:rPr>
          <w:rFonts w:ascii="Times New Roman" w:eastAsia="Calibri" w:hAnsi="Times New Roman" w:cs="Times New Roman"/>
          <w:b/>
          <w:sz w:val="24"/>
          <w:szCs w:val="24"/>
          <w:lang w:val="fr-BE"/>
        </w:rPr>
      </w:pPr>
      <w:r w:rsidRPr="00D914E0">
        <w:rPr>
          <w:rFonts w:ascii="Times New Roman" w:eastAsia="Calibri" w:hAnsi="Times New Roman" w:cs="Times New Roman"/>
          <w:b/>
          <w:sz w:val="24"/>
          <w:szCs w:val="24"/>
          <w:lang w:val="fr-BE"/>
        </w:rPr>
        <w:t xml:space="preserve">Etudes IRE, </w:t>
      </w:r>
      <w:r w:rsidRPr="00D914E0">
        <w:rPr>
          <w:rFonts w:ascii="Times New Roman" w:eastAsia="Calibri" w:hAnsi="Times New Roman" w:cs="Times New Roman"/>
          <w:b/>
          <w:i/>
          <w:sz w:val="24"/>
          <w:szCs w:val="24"/>
          <w:lang w:val="fr-BE"/>
        </w:rPr>
        <w:t>La société et son commissaire</w:t>
      </w:r>
      <w:r w:rsidRPr="00D914E0">
        <w:rPr>
          <w:rFonts w:ascii="Times New Roman" w:eastAsia="Calibri" w:hAnsi="Times New Roman" w:cs="Times New Roman"/>
          <w:b/>
          <w:sz w:val="24"/>
          <w:szCs w:val="24"/>
          <w:lang w:val="fr-BE"/>
        </w:rPr>
        <w:t xml:space="preserve"> </w:t>
      </w:r>
      <w:r w:rsidR="00F474C6">
        <w:rPr>
          <w:rFonts w:ascii="Times New Roman" w:eastAsia="Calibri" w:hAnsi="Times New Roman" w:cs="Times New Roman"/>
          <w:b/>
          <w:sz w:val="24"/>
          <w:szCs w:val="24"/>
          <w:lang w:val="fr-BE"/>
        </w:rPr>
        <w:t xml:space="preserve">– </w:t>
      </w:r>
      <w:r w:rsidRPr="00D914E0">
        <w:rPr>
          <w:rFonts w:ascii="Times New Roman" w:eastAsia="Calibri" w:hAnsi="Times New Roman" w:cs="Times New Roman"/>
          <w:b/>
          <w:sz w:val="24"/>
          <w:szCs w:val="24"/>
          <w:lang w:val="fr-BE"/>
        </w:rPr>
        <w:t>Cas pratiques, 2004</w:t>
      </w:r>
    </w:p>
    <w:tbl>
      <w:tblPr>
        <w:tblW w:w="5000" w:type="pct"/>
        <w:tblLook w:val="01E0" w:firstRow="1" w:lastRow="1" w:firstColumn="1" w:lastColumn="1" w:noHBand="0" w:noVBand="0"/>
      </w:tblPr>
      <w:tblGrid>
        <w:gridCol w:w="8104"/>
        <w:gridCol w:w="19"/>
        <w:gridCol w:w="1165"/>
      </w:tblGrid>
      <w:tr w:rsidR="00623AAE" w:rsidRPr="007C40CA" w14:paraId="249CEFD9" w14:textId="77777777">
        <w:tc>
          <w:tcPr>
            <w:tcW w:w="4373" w:type="pct"/>
            <w:gridSpan w:val="2"/>
          </w:tcPr>
          <w:p w14:paraId="249CEFD7" w14:textId="77777777" w:rsidR="00623AAE" w:rsidRPr="00DE2864" w:rsidRDefault="00623AAE" w:rsidP="00623AAE">
            <w:pPr>
              <w:numPr>
                <w:ilvl w:val="12"/>
                <w:numId w:val="0"/>
              </w:numPr>
              <w:jc w:val="both"/>
              <w:rPr>
                <w:rFonts w:ascii="Times New Roman" w:eastAsia="Calibri" w:hAnsi="Times New Roman" w:cs="Times New Roman"/>
                <w:sz w:val="24"/>
                <w:szCs w:val="24"/>
                <w:lang w:val="fr-BE"/>
              </w:rPr>
            </w:pPr>
          </w:p>
        </w:tc>
        <w:tc>
          <w:tcPr>
            <w:tcW w:w="627" w:type="pct"/>
          </w:tcPr>
          <w:p w14:paraId="249CEFD8" w14:textId="77777777" w:rsidR="00623AAE" w:rsidRPr="00DE2864" w:rsidRDefault="00623AAE">
            <w:pPr>
              <w:jc w:val="right"/>
              <w:rPr>
                <w:rFonts w:ascii="Times New Roman" w:eastAsia="Calibri" w:hAnsi="Times New Roman" w:cs="Times New Roman"/>
                <w:sz w:val="24"/>
                <w:szCs w:val="24"/>
                <w:u w:val="single"/>
              </w:rPr>
            </w:pPr>
            <w:r w:rsidRPr="00DE2864">
              <w:rPr>
                <w:rFonts w:ascii="Times New Roman" w:eastAsia="Calibri" w:hAnsi="Times New Roman" w:cs="Times New Roman"/>
                <w:sz w:val="24"/>
                <w:szCs w:val="24"/>
                <w:u w:val="single"/>
              </w:rPr>
              <w:t>Page</w:t>
            </w:r>
          </w:p>
        </w:tc>
      </w:tr>
      <w:tr w:rsidR="00623AAE" w:rsidRPr="007C40CA" w14:paraId="249CEFDC" w14:textId="77777777">
        <w:tc>
          <w:tcPr>
            <w:tcW w:w="4373" w:type="pct"/>
            <w:gridSpan w:val="2"/>
          </w:tcPr>
          <w:p w14:paraId="249CEFDA" w14:textId="77777777" w:rsidR="00623AAE" w:rsidRPr="002E1729" w:rsidRDefault="00623AAE" w:rsidP="001E138C">
            <w:pPr>
              <w:pStyle w:val="ListParagraph"/>
              <w:numPr>
                <w:ilvl w:val="0"/>
                <w:numId w:val="7"/>
              </w:numPr>
              <w:tabs>
                <w:tab w:val="left" w:pos="426"/>
              </w:tabs>
              <w:spacing w:after="0" w:line="240" w:lineRule="auto"/>
              <w:ind w:left="709"/>
              <w:jc w:val="both"/>
              <w:rPr>
                <w:rFonts w:ascii="Times New Roman" w:eastAsia="Calibri" w:hAnsi="Times New Roman" w:cs="Times New Roman"/>
                <w:sz w:val="24"/>
                <w:szCs w:val="24"/>
                <w:lang w:val="fr-BE"/>
              </w:rPr>
            </w:pPr>
            <w:r w:rsidRPr="002E1729">
              <w:rPr>
                <w:rFonts w:ascii="Times New Roman" w:eastAsia="Calibri" w:hAnsi="Times New Roman" w:cs="Times New Roman"/>
                <w:sz w:val="24"/>
                <w:szCs w:val="24"/>
                <w:lang w:val="fr-BE"/>
              </w:rPr>
              <w:t xml:space="preserve">Comment présenter </w:t>
            </w:r>
            <w:r w:rsidR="001E138C">
              <w:rPr>
                <w:rFonts w:ascii="Times New Roman" w:eastAsia="Calibri" w:hAnsi="Times New Roman" w:cs="Times New Roman"/>
                <w:sz w:val="24"/>
                <w:szCs w:val="24"/>
                <w:lang w:val="fr-BE"/>
              </w:rPr>
              <w:t>la certification</w:t>
            </w:r>
            <w:r w:rsidRPr="002E1729">
              <w:rPr>
                <w:rFonts w:ascii="Times New Roman" w:eastAsia="Calibri" w:hAnsi="Times New Roman" w:cs="Times New Roman"/>
                <w:sz w:val="24"/>
                <w:szCs w:val="24"/>
                <w:lang w:val="fr-BE"/>
              </w:rPr>
              <w:t xml:space="preserve"> des comptes auprès de certaines entités publiques dont certains commissaires n</w:t>
            </w:r>
            <w:r w:rsidR="001E138C">
              <w:rPr>
                <w:rFonts w:ascii="Times New Roman" w:eastAsia="Calibri" w:hAnsi="Times New Roman" w:cs="Times New Roman"/>
                <w:sz w:val="24"/>
                <w:szCs w:val="24"/>
                <w:lang w:val="fr-BE"/>
              </w:rPr>
              <w:t>’</w:t>
            </w:r>
            <w:r w:rsidRPr="002E1729">
              <w:rPr>
                <w:rFonts w:ascii="Times New Roman" w:eastAsia="Calibri" w:hAnsi="Times New Roman" w:cs="Times New Roman"/>
                <w:sz w:val="24"/>
                <w:szCs w:val="24"/>
                <w:lang w:val="fr-BE"/>
              </w:rPr>
              <w:t>ont pas la qualité de réviseur d</w:t>
            </w:r>
            <w:r w:rsidR="001E138C">
              <w:rPr>
                <w:rFonts w:ascii="Times New Roman" w:eastAsia="Calibri" w:hAnsi="Times New Roman" w:cs="Times New Roman"/>
                <w:sz w:val="24"/>
                <w:szCs w:val="24"/>
                <w:lang w:val="fr-BE"/>
              </w:rPr>
              <w:t>’</w:t>
            </w:r>
            <w:r w:rsidRPr="002E1729">
              <w:rPr>
                <w:rFonts w:ascii="Times New Roman" w:eastAsia="Calibri" w:hAnsi="Times New Roman" w:cs="Times New Roman"/>
                <w:sz w:val="24"/>
                <w:szCs w:val="24"/>
                <w:lang w:val="fr-BE"/>
              </w:rPr>
              <w:t>entreprises ?</w:t>
            </w:r>
          </w:p>
        </w:tc>
        <w:tc>
          <w:tcPr>
            <w:tcW w:w="627" w:type="pct"/>
          </w:tcPr>
          <w:p w14:paraId="249CEFDB" w14:textId="77777777" w:rsidR="00623AAE" w:rsidRPr="00DE2864" w:rsidRDefault="00623AAE">
            <w:pPr>
              <w:tabs>
                <w:tab w:val="left" w:pos="426"/>
                <w:tab w:val="num" w:pos="1134"/>
              </w:tabs>
              <w:ind w:left="426" w:hanging="426"/>
              <w:contextualSpacing/>
              <w:jc w:val="right"/>
              <w:rPr>
                <w:rFonts w:ascii="Times New Roman" w:eastAsia="Calibri" w:hAnsi="Times New Roman" w:cs="Times New Roman"/>
                <w:sz w:val="24"/>
                <w:szCs w:val="24"/>
              </w:rPr>
            </w:pPr>
            <w:r w:rsidRPr="00DE2864">
              <w:rPr>
                <w:rFonts w:ascii="Times New Roman" w:eastAsia="Calibri" w:hAnsi="Times New Roman" w:cs="Times New Roman"/>
                <w:sz w:val="24"/>
                <w:szCs w:val="24"/>
              </w:rPr>
              <w:t>93</w:t>
            </w:r>
          </w:p>
        </w:tc>
      </w:tr>
      <w:tr w:rsidR="00623AAE" w:rsidRPr="007C40CA" w14:paraId="249CEFDF" w14:textId="77777777">
        <w:tc>
          <w:tcPr>
            <w:tcW w:w="4373" w:type="pct"/>
            <w:gridSpan w:val="2"/>
          </w:tcPr>
          <w:p w14:paraId="249CEFDD" w14:textId="77777777" w:rsidR="00623AAE" w:rsidRPr="002E1729" w:rsidRDefault="00623AAE" w:rsidP="002E1729">
            <w:pPr>
              <w:pStyle w:val="ListParagraph"/>
              <w:numPr>
                <w:ilvl w:val="0"/>
                <w:numId w:val="7"/>
              </w:numPr>
              <w:spacing w:after="0" w:line="240" w:lineRule="auto"/>
              <w:ind w:left="709"/>
              <w:jc w:val="both"/>
              <w:rPr>
                <w:rFonts w:ascii="Times New Roman" w:eastAsia="Calibri" w:hAnsi="Times New Roman" w:cs="Times New Roman"/>
                <w:sz w:val="24"/>
                <w:szCs w:val="24"/>
                <w:lang w:val="fr-BE"/>
              </w:rPr>
            </w:pPr>
            <w:r w:rsidRPr="002E1729">
              <w:rPr>
                <w:rFonts w:ascii="Times New Roman" w:eastAsia="Calibri" w:hAnsi="Times New Roman" w:cs="Times New Roman"/>
                <w:sz w:val="24"/>
                <w:szCs w:val="24"/>
                <w:lang w:val="fr-BE"/>
              </w:rPr>
              <w:t>Intervention d</w:t>
            </w:r>
            <w:r w:rsidR="001E138C">
              <w:rPr>
                <w:rFonts w:ascii="Times New Roman" w:eastAsia="Calibri" w:hAnsi="Times New Roman" w:cs="Times New Roman"/>
                <w:sz w:val="24"/>
                <w:szCs w:val="24"/>
                <w:lang w:val="fr-BE"/>
              </w:rPr>
              <w:t>’</w:t>
            </w:r>
            <w:r w:rsidRPr="002E1729">
              <w:rPr>
                <w:rFonts w:ascii="Times New Roman" w:eastAsia="Calibri" w:hAnsi="Times New Roman" w:cs="Times New Roman"/>
                <w:sz w:val="24"/>
                <w:szCs w:val="24"/>
                <w:lang w:val="fr-BE"/>
              </w:rPr>
              <w:t>un collaborateur (exclusif) au nom d</w:t>
            </w:r>
            <w:r w:rsidR="001E138C">
              <w:rPr>
                <w:rFonts w:ascii="Times New Roman" w:eastAsia="Calibri" w:hAnsi="Times New Roman" w:cs="Times New Roman"/>
                <w:sz w:val="24"/>
                <w:szCs w:val="24"/>
                <w:lang w:val="fr-BE"/>
              </w:rPr>
              <w:t>’</w:t>
            </w:r>
            <w:r w:rsidRPr="002E1729">
              <w:rPr>
                <w:rFonts w:ascii="Times New Roman" w:eastAsia="Calibri" w:hAnsi="Times New Roman" w:cs="Times New Roman"/>
                <w:sz w:val="24"/>
                <w:szCs w:val="24"/>
                <w:lang w:val="fr-BE"/>
              </w:rPr>
              <w:t>une société de révision</w:t>
            </w:r>
          </w:p>
        </w:tc>
        <w:tc>
          <w:tcPr>
            <w:tcW w:w="627" w:type="pct"/>
          </w:tcPr>
          <w:p w14:paraId="249CEFDE" w14:textId="77777777" w:rsidR="00623AAE" w:rsidRPr="00DE2864" w:rsidRDefault="00623AAE">
            <w:pPr>
              <w:tabs>
                <w:tab w:val="left" w:pos="426"/>
                <w:tab w:val="num" w:pos="1134"/>
              </w:tabs>
              <w:ind w:left="426" w:hanging="426"/>
              <w:contextualSpacing/>
              <w:jc w:val="right"/>
              <w:rPr>
                <w:rFonts w:ascii="Times New Roman" w:eastAsia="Calibri" w:hAnsi="Times New Roman" w:cs="Times New Roman"/>
                <w:sz w:val="24"/>
                <w:szCs w:val="24"/>
              </w:rPr>
            </w:pPr>
            <w:r w:rsidRPr="00DE2864">
              <w:rPr>
                <w:rFonts w:ascii="Times New Roman" w:eastAsia="Calibri" w:hAnsi="Times New Roman" w:cs="Times New Roman"/>
                <w:sz w:val="24"/>
                <w:szCs w:val="24"/>
              </w:rPr>
              <w:t>94</w:t>
            </w:r>
          </w:p>
        </w:tc>
      </w:tr>
      <w:tr w:rsidR="00623AAE" w:rsidRPr="007C40CA" w14:paraId="249CEFE2" w14:textId="77777777">
        <w:tc>
          <w:tcPr>
            <w:tcW w:w="4373" w:type="pct"/>
            <w:gridSpan w:val="2"/>
          </w:tcPr>
          <w:p w14:paraId="249CEFE0" w14:textId="77777777" w:rsidR="00623AAE" w:rsidRPr="002E1729" w:rsidRDefault="00623AAE" w:rsidP="002E1729">
            <w:pPr>
              <w:pStyle w:val="ListParagraph"/>
              <w:numPr>
                <w:ilvl w:val="0"/>
                <w:numId w:val="7"/>
              </w:numPr>
              <w:tabs>
                <w:tab w:val="left" w:pos="426"/>
              </w:tabs>
              <w:spacing w:after="0" w:line="240" w:lineRule="auto"/>
              <w:ind w:left="709"/>
              <w:jc w:val="both"/>
              <w:rPr>
                <w:rFonts w:ascii="Times New Roman" w:eastAsia="Calibri" w:hAnsi="Times New Roman" w:cs="Times New Roman"/>
                <w:sz w:val="24"/>
                <w:szCs w:val="24"/>
                <w:lang w:val="fr-BE"/>
              </w:rPr>
            </w:pPr>
            <w:r w:rsidRPr="002E1729">
              <w:rPr>
                <w:rFonts w:ascii="Times New Roman" w:eastAsia="Calibri" w:hAnsi="Times New Roman" w:cs="Times New Roman"/>
                <w:sz w:val="24"/>
                <w:szCs w:val="24"/>
                <w:lang w:val="fr-BE"/>
              </w:rPr>
              <w:t>A qui revient la responsabilité en cas de délégation de signature</w:t>
            </w:r>
            <w:r w:rsidR="00A875CA" w:rsidRPr="002E1729">
              <w:rPr>
                <w:rFonts w:ascii="Times New Roman" w:eastAsia="Calibri" w:hAnsi="Times New Roman" w:cs="Times New Roman"/>
                <w:sz w:val="24"/>
                <w:szCs w:val="24"/>
                <w:lang w:val="fr-BE"/>
              </w:rPr>
              <w:t> ?</w:t>
            </w:r>
          </w:p>
        </w:tc>
        <w:tc>
          <w:tcPr>
            <w:tcW w:w="627" w:type="pct"/>
          </w:tcPr>
          <w:p w14:paraId="249CEFE1" w14:textId="77777777" w:rsidR="00623AAE" w:rsidRPr="00DE2864" w:rsidRDefault="00623AAE">
            <w:pPr>
              <w:tabs>
                <w:tab w:val="left" w:pos="426"/>
                <w:tab w:val="num" w:pos="1134"/>
              </w:tabs>
              <w:ind w:left="426" w:hanging="426"/>
              <w:contextualSpacing/>
              <w:jc w:val="right"/>
              <w:rPr>
                <w:rFonts w:ascii="Times New Roman" w:eastAsia="Calibri" w:hAnsi="Times New Roman" w:cs="Times New Roman"/>
                <w:sz w:val="24"/>
                <w:szCs w:val="24"/>
              </w:rPr>
            </w:pPr>
            <w:r w:rsidRPr="00DE2864">
              <w:rPr>
                <w:rFonts w:ascii="Times New Roman" w:eastAsia="Calibri" w:hAnsi="Times New Roman" w:cs="Times New Roman"/>
                <w:sz w:val="24"/>
                <w:szCs w:val="24"/>
              </w:rPr>
              <w:t>94</w:t>
            </w:r>
          </w:p>
        </w:tc>
      </w:tr>
      <w:tr w:rsidR="001E138C" w:rsidRPr="007C40CA" w14:paraId="249CEFE5" w14:textId="77777777">
        <w:tc>
          <w:tcPr>
            <w:tcW w:w="4373" w:type="pct"/>
            <w:gridSpan w:val="2"/>
          </w:tcPr>
          <w:p w14:paraId="249CEFE3" w14:textId="77777777" w:rsidR="001E138C" w:rsidRPr="002E1729" w:rsidRDefault="001E138C" w:rsidP="001E138C">
            <w:pPr>
              <w:pStyle w:val="ListParagraph"/>
              <w:numPr>
                <w:ilvl w:val="0"/>
                <w:numId w:val="7"/>
              </w:numPr>
              <w:tabs>
                <w:tab w:val="left" w:pos="426"/>
              </w:tabs>
              <w:spacing w:after="0" w:line="240" w:lineRule="auto"/>
              <w:ind w:left="709"/>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Que se passe-t-il quand il y a divergence entre le procès-verbal de la réunion du conseil d’entreprise et sa communication à l’assemblée générale ?</w:t>
            </w:r>
          </w:p>
        </w:tc>
        <w:tc>
          <w:tcPr>
            <w:tcW w:w="627" w:type="pct"/>
          </w:tcPr>
          <w:p w14:paraId="249CEFE4" w14:textId="77777777" w:rsidR="001E138C" w:rsidRPr="00DE2864" w:rsidRDefault="001E138C">
            <w:pPr>
              <w:tabs>
                <w:tab w:val="left" w:pos="426"/>
              </w:tabs>
              <w:ind w:left="426" w:hanging="426"/>
              <w:jc w:val="right"/>
              <w:rPr>
                <w:rFonts w:ascii="Times New Roman" w:eastAsia="Calibri" w:hAnsi="Times New Roman" w:cs="Times New Roman"/>
                <w:sz w:val="24"/>
                <w:szCs w:val="24"/>
              </w:rPr>
            </w:pPr>
            <w:r>
              <w:rPr>
                <w:rFonts w:ascii="Times New Roman" w:eastAsia="Calibri" w:hAnsi="Times New Roman" w:cs="Times New Roman"/>
                <w:sz w:val="24"/>
                <w:szCs w:val="24"/>
              </w:rPr>
              <w:t>95</w:t>
            </w:r>
          </w:p>
        </w:tc>
      </w:tr>
      <w:tr w:rsidR="001E138C" w:rsidRPr="001E138C" w14:paraId="249CEFE8" w14:textId="77777777">
        <w:tc>
          <w:tcPr>
            <w:tcW w:w="4373" w:type="pct"/>
            <w:gridSpan w:val="2"/>
          </w:tcPr>
          <w:p w14:paraId="249CEFE6" w14:textId="77777777" w:rsidR="001E138C" w:rsidRPr="002E1729" w:rsidRDefault="001E138C" w:rsidP="002E1729">
            <w:pPr>
              <w:pStyle w:val="ListParagraph"/>
              <w:numPr>
                <w:ilvl w:val="0"/>
                <w:numId w:val="7"/>
              </w:numPr>
              <w:tabs>
                <w:tab w:val="left" w:pos="426"/>
              </w:tabs>
              <w:spacing w:after="0" w:line="240" w:lineRule="auto"/>
              <w:ind w:left="709"/>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Quelle est la forme du rapport à établir destiné au comité pour la prévention et la protection au travail qui exerce la fonction du conseil d’entreprise ?</w:t>
            </w:r>
          </w:p>
        </w:tc>
        <w:tc>
          <w:tcPr>
            <w:tcW w:w="627" w:type="pct"/>
          </w:tcPr>
          <w:p w14:paraId="249CEFE7" w14:textId="77777777" w:rsidR="001E138C" w:rsidRPr="001E138C" w:rsidRDefault="001E138C">
            <w:pPr>
              <w:tabs>
                <w:tab w:val="left" w:pos="426"/>
              </w:tabs>
              <w:ind w:left="426" w:hanging="426"/>
              <w:jc w:val="right"/>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96</w:t>
            </w:r>
          </w:p>
        </w:tc>
      </w:tr>
      <w:tr w:rsidR="00623AAE" w:rsidRPr="007C40CA" w14:paraId="249CEFEB" w14:textId="77777777">
        <w:tc>
          <w:tcPr>
            <w:tcW w:w="4373" w:type="pct"/>
            <w:gridSpan w:val="2"/>
          </w:tcPr>
          <w:p w14:paraId="249CEFE9" w14:textId="77777777" w:rsidR="00623AAE" w:rsidRPr="002E1729" w:rsidRDefault="00623AAE" w:rsidP="002E1729">
            <w:pPr>
              <w:pStyle w:val="ListParagraph"/>
              <w:numPr>
                <w:ilvl w:val="0"/>
                <w:numId w:val="7"/>
              </w:numPr>
              <w:tabs>
                <w:tab w:val="left" w:pos="426"/>
              </w:tabs>
              <w:spacing w:after="0" w:line="240" w:lineRule="auto"/>
              <w:ind w:left="709"/>
              <w:jc w:val="both"/>
              <w:rPr>
                <w:rFonts w:ascii="Times New Roman" w:eastAsia="Calibri" w:hAnsi="Times New Roman" w:cs="Times New Roman"/>
                <w:sz w:val="24"/>
                <w:szCs w:val="24"/>
                <w:lang w:val="fr-BE"/>
              </w:rPr>
            </w:pPr>
            <w:r w:rsidRPr="002E1729">
              <w:rPr>
                <w:rFonts w:ascii="Times New Roman" w:eastAsia="Calibri" w:hAnsi="Times New Roman" w:cs="Times New Roman"/>
                <w:sz w:val="24"/>
                <w:szCs w:val="24"/>
                <w:lang w:val="fr-BE"/>
              </w:rPr>
              <w:t>Le réviseur d</w:t>
            </w:r>
            <w:r w:rsidR="001E138C">
              <w:rPr>
                <w:rFonts w:ascii="Times New Roman" w:eastAsia="Calibri" w:hAnsi="Times New Roman" w:cs="Times New Roman"/>
                <w:sz w:val="24"/>
                <w:szCs w:val="24"/>
                <w:lang w:val="fr-BE"/>
              </w:rPr>
              <w:t>’</w:t>
            </w:r>
            <w:r w:rsidRPr="002E1729">
              <w:rPr>
                <w:rFonts w:ascii="Times New Roman" w:eastAsia="Calibri" w:hAnsi="Times New Roman" w:cs="Times New Roman"/>
                <w:sz w:val="24"/>
                <w:szCs w:val="24"/>
                <w:lang w:val="fr-BE"/>
              </w:rPr>
              <w:t>entreprises doit-il rédiger un rapport de révision sur les comptes d</w:t>
            </w:r>
            <w:r w:rsidR="001E138C">
              <w:rPr>
                <w:rFonts w:ascii="Times New Roman" w:eastAsia="Calibri" w:hAnsi="Times New Roman" w:cs="Times New Roman"/>
                <w:sz w:val="24"/>
                <w:szCs w:val="24"/>
                <w:lang w:val="fr-BE"/>
              </w:rPr>
              <w:t>’</w:t>
            </w:r>
            <w:r w:rsidRPr="002E1729">
              <w:rPr>
                <w:rFonts w:ascii="Times New Roman" w:eastAsia="Calibri" w:hAnsi="Times New Roman" w:cs="Times New Roman"/>
                <w:sz w:val="24"/>
                <w:szCs w:val="24"/>
                <w:lang w:val="fr-BE"/>
              </w:rPr>
              <w:t>une succursale ayant un conseil d</w:t>
            </w:r>
            <w:r w:rsidR="001E138C">
              <w:rPr>
                <w:rFonts w:ascii="Times New Roman" w:eastAsia="Calibri" w:hAnsi="Times New Roman" w:cs="Times New Roman"/>
                <w:sz w:val="24"/>
                <w:szCs w:val="24"/>
                <w:lang w:val="fr-BE"/>
              </w:rPr>
              <w:t>’</w:t>
            </w:r>
            <w:r w:rsidRPr="002E1729">
              <w:rPr>
                <w:rFonts w:ascii="Times New Roman" w:eastAsia="Calibri" w:hAnsi="Times New Roman" w:cs="Times New Roman"/>
                <w:sz w:val="24"/>
                <w:szCs w:val="24"/>
                <w:lang w:val="fr-BE"/>
              </w:rPr>
              <w:t>entreprise ?</w:t>
            </w:r>
          </w:p>
        </w:tc>
        <w:tc>
          <w:tcPr>
            <w:tcW w:w="627" w:type="pct"/>
          </w:tcPr>
          <w:p w14:paraId="249CEFEA" w14:textId="77777777" w:rsidR="00623AAE" w:rsidRPr="00DE2864" w:rsidRDefault="00623AAE">
            <w:pPr>
              <w:tabs>
                <w:tab w:val="left" w:pos="426"/>
              </w:tabs>
              <w:ind w:left="426" w:hanging="426"/>
              <w:jc w:val="right"/>
              <w:rPr>
                <w:rFonts w:ascii="Times New Roman" w:eastAsia="Calibri" w:hAnsi="Times New Roman" w:cs="Times New Roman"/>
                <w:sz w:val="24"/>
                <w:szCs w:val="24"/>
              </w:rPr>
            </w:pPr>
            <w:r w:rsidRPr="00DE2864">
              <w:rPr>
                <w:rFonts w:ascii="Times New Roman" w:eastAsia="Calibri" w:hAnsi="Times New Roman" w:cs="Times New Roman"/>
                <w:sz w:val="24"/>
                <w:szCs w:val="24"/>
              </w:rPr>
              <w:t>96</w:t>
            </w:r>
          </w:p>
        </w:tc>
      </w:tr>
      <w:tr w:rsidR="00623AAE" w:rsidRPr="007C40CA" w14:paraId="249CEFEE" w14:textId="77777777">
        <w:tc>
          <w:tcPr>
            <w:tcW w:w="4373" w:type="pct"/>
            <w:gridSpan w:val="2"/>
          </w:tcPr>
          <w:p w14:paraId="249CEFEC" w14:textId="77777777" w:rsidR="00623AAE" w:rsidRPr="002E1729" w:rsidRDefault="00623AAE" w:rsidP="002E1729">
            <w:pPr>
              <w:pStyle w:val="ListParagraph"/>
              <w:numPr>
                <w:ilvl w:val="0"/>
                <w:numId w:val="7"/>
              </w:numPr>
              <w:tabs>
                <w:tab w:val="left" w:pos="426"/>
              </w:tabs>
              <w:spacing w:after="0" w:line="240" w:lineRule="auto"/>
              <w:ind w:left="709"/>
              <w:jc w:val="both"/>
              <w:rPr>
                <w:rFonts w:ascii="Times New Roman" w:eastAsia="Calibri" w:hAnsi="Times New Roman" w:cs="Times New Roman"/>
                <w:sz w:val="24"/>
                <w:szCs w:val="24"/>
                <w:lang w:val="fr-BE"/>
              </w:rPr>
            </w:pPr>
            <w:r w:rsidRPr="002E1729">
              <w:rPr>
                <w:rFonts w:ascii="Times New Roman" w:eastAsia="Calibri" w:hAnsi="Times New Roman" w:cs="Times New Roman"/>
                <w:sz w:val="24"/>
                <w:szCs w:val="24"/>
                <w:lang w:val="fr-BE"/>
              </w:rPr>
              <w:t xml:space="preserve">Le </w:t>
            </w:r>
            <w:r w:rsidR="00A875CA" w:rsidRPr="002E1729">
              <w:rPr>
                <w:rFonts w:ascii="Times New Roman" w:eastAsia="Calibri" w:hAnsi="Times New Roman" w:cs="Times New Roman"/>
                <w:sz w:val="24"/>
                <w:szCs w:val="24"/>
                <w:lang w:val="fr-BE"/>
              </w:rPr>
              <w:t>c</w:t>
            </w:r>
            <w:r w:rsidRPr="002E1729">
              <w:rPr>
                <w:rFonts w:ascii="Times New Roman" w:eastAsia="Calibri" w:hAnsi="Times New Roman" w:cs="Times New Roman"/>
                <w:sz w:val="24"/>
                <w:szCs w:val="24"/>
                <w:lang w:val="fr-BE"/>
              </w:rPr>
              <w:t>ommissaire doit-il rédiger deux rapports dans le cas où il y a concours entre le rapport sur la proposition de dissolution et le rapport de révision sur les comptes annuels ?</w:t>
            </w:r>
          </w:p>
        </w:tc>
        <w:tc>
          <w:tcPr>
            <w:tcW w:w="627" w:type="pct"/>
          </w:tcPr>
          <w:p w14:paraId="249CEFED" w14:textId="77777777" w:rsidR="00623AAE" w:rsidRPr="00DE2864" w:rsidRDefault="00623AAE">
            <w:pPr>
              <w:tabs>
                <w:tab w:val="left" w:pos="426"/>
              </w:tabs>
              <w:ind w:left="426" w:hanging="426"/>
              <w:jc w:val="right"/>
              <w:rPr>
                <w:rFonts w:ascii="Times New Roman" w:eastAsia="Calibri" w:hAnsi="Times New Roman" w:cs="Times New Roman"/>
                <w:sz w:val="24"/>
                <w:szCs w:val="24"/>
              </w:rPr>
            </w:pPr>
            <w:r w:rsidRPr="00DE2864">
              <w:rPr>
                <w:rFonts w:ascii="Times New Roman" w:eastAsia="Calibri" w:hAnsi="Times New Roman" w:cs="Times New Roman"/>
                <w:sz w:val="24"/>
                <w:szCs w:val="24"/>
              </w:rPr>
              <w:t>97</w:t>
            </w:r>
          </w:p>
        </w:tc>
      </w:tr>
      <w:tr w:rsidR="00623AAE" w:rsidRPr="007C40CA" w14:paraId="249CEFF1" w14:textId="77777777">
        <w:tc>
          <w:tcPr>
            <w:tcW w:w="4363" w:type="pct"/>
            <w:tcBorders>
              <w:top w:val="nil"/>
              <w:left w:val="nil"/>
              <w:bottom w:val="nil"/>
              <w:right w:val="nil"/>
            </w:tcBorders>
          </w:tcPr>
          <w:p w14:paraId="249CEFEF" w14:textId="77777777" w:rsidR="00623AAE" w:rsidRPr="002E1729" w:rsidRDefault="00623AAE" w:rsidP="002E1729">
            <w:pPr>
              <w:pStyle w:val="ListParagraph"/>
              <w:numPr>
                <w:ilvl w:val="0"/>
                <w:numId w:val="7"/>
              </w:numPr>
              <w:tabs>
                <w:tab w:val="left" w:pos="426"/>
              </w:tabs>
              <w:spacing w:after="0" w:line="240" w:lineRule="auto"/>
              <w:ind w:left="709"/>
              <w:jc w:val="both"/>
              <w:rPr>
                <w:rFonts w:ascii="Times New Roman" w:eastAsia="Calibri" w:hAnsi="Times New Roman" w:cs="Times New Roman"/>
                <w:sz w:val="24"/>
                <w:szCs w:val="24"/>
                <w:lang w:val="fr-BE"/>
              </w:rPr>
            </w:pPr>
            <w:r w:rsidRPr="002E1729">
              <w:rPr>
                <w:rFonts w:ascii="Times New Roman" w:eastAsia="Calibri" w:hAnsi="Times New Roman" w:cs="Times New Roman"/>
                <w:sz w:val="24"/>
                <w:szCs w:val="24"/>
                <w:lang w:val="fr-BE"/>
              </w:rPr>
              <w:t>Infractions aux dispositions relatives à la consolidation : faut-il que le commissaire mentionne l</w:t>
            </w:r>
            <w:r w:rsidR="001E138C">
              <w:rPr>
                <w:rFonts w:ascii="Times New Roman" w:eastAsia="Calibri" w:hAnsi="Times New Roman" w:cs="Times New Roman"/>
                <w:sz w:val="24"/>
                <w:szCs w:val="24"/>
                <w:lang w:val="fr-BE"/>
              </w:rPr>
              <w:t>’</w:t>
            </w:r>
            <w:r w:rsidRPr="002E1729">
              <w:rPr>
                <w:rFonts w:ascii="Times New Roman" w:eastAsia="Calibri" w:hAnsi="Times New Roman" w:cs="Times New Roman"/>
                <w:sz w:val="24"/>
                <w:szCs w:val="24"/>
                <w:lang w:val="fr-BE"/>
              </w:rPr>
              <w:t>infraction, et si oui, dans quel rapport ?</w:t>
            </w:r>
          </w:p>
        </w:tc>
        <w:tc>
          <w:tcPr>
            <w:tcW w:w="637" w:type="pct"/>
            <w:gridSpan w:val="2"/>
            <w:tcBorders>
              <w:top w:val="nil"/>
              <w:left w:val="nil"/>
              <w:bottom w:val="nil"/>
              <w:right w:val="nil"/>
            </w:tcBorders>
          </w:tcPr>
          <w:p w14:paraId="249CEFF0" w14:textId="77777777" w:rsidR="00623AAE" w:rsidRPr="00DE2864" w:rsidRDefault="00623AAE">
            <w:pPr>
              <w:tabs>
                <w:tab w:val="left" w:pos="426"/>
                <w:tab w:val="num" w:pos="1134"/>
              </w:tabs>
              <w:ind w:left="426" w:hanging="426"/>
              <w:contextualSpacing/>
              <w:jc w:val="right"/>
              <w:rPr>
                <w:rFonts w:ascii="Times New Roman" w:eastAsia="Calibri" w:hAnsi="Times New Roman" w:cs="Times New Roman"/>
                <w:sz w:val="24"/>
                <w:szCs w:val="24"/>
              </w:rPr>
            </w:pPr>
            <w:r w:rsidRPr="00DE2864">
              <w:rPr>
                <w:rFonts w:ascii="Times New Roman" w:eastAsia="Calibri" w:hAnsi="Times New Roman" w:cs="Times New Roman"/>
                <w:sz w:val="24"/>
                <w:szCs w:val="24"/>
              </w:rPr>
              <w:t>97</w:t>
            </w:r>
          </w:p>
        </w:tc>
      </w:tr>
      <w:tr w:rsidR="00623AAE" w:rsidRPr="007C40CA" w14:paraId="249CEFF4" w14:textId="77777777">
        <w:tc>
          <w:tcPr>
            <w:tcW w:w="4363" w:type="pct"/>
            <w:tcBorders>
              <w:top w:val="nil"/>
              <w:left w:val="nil"/>
              <w:bottom w:val="nil"/>
              <w:right w:val="nil"/>
            </w:tcBorders>
          </w:tcPr>
          <w:p w14:paraId="249CEFF2" w14:textId="77777777" w:rsidR="002E1729" w:rsidRPr="00DE2864" w:rsidRDefault="00623AAE" w:rsidP="001E138C">
            <w:pPr>
              <w:pStyle w:val="ListParagraph"/>
              <w:numPr>
                <w:ilvl w:val="0"/>
                <w:numId w:val="7"/>
              </w:numPr>
              <w:tabs>
                <w:tab w:val="left" w:pos="426"/>
              </w:tabs>
              <w:spacing w:after="0" w:line="240" w:lineRule="auto"/>
              <w:ind w:left="709"/>
              <w:jc w:val="both"/>
              <w:rPr>
                <w:rFonts w:ascii="Times New Roman" w:eastAsia="Calibri" w:hAnsi="Times New Roman" w:cs="Times New Roman"/>
                <w:sz w:val="24"/>
                <w:szCs w:val="24"/>
                <w:lang w:val="fr-BE"/>
              </w:rPr>
            </w:pPr>
            <w:r w:rsidRPr="002E1729">
              <w:rPr>
                <w:rFonts w:ascii="Times New Roman" w:eastAsia="Calibri" w:hAnsi="Times New Roman" w:cs="Times New Roman"/>
                <w:sz w:val="24"/>
                <w:szCs w:val="24"/>
                <w:lang w:val="fr-BE"/>
              </w:rPr>
              <w:t>Que se passe-t-il quand il y a désaccord entre les membres d</w:t>
            </w:r>
            <w:r w:rsidR="001E138C">
              <w:rPr>
                <w:rFonts w:ascii="Times New Roman" w:eastAsia="Calibri" w:hAnsi="Times New Roman" w:cs="Times New Roman"/>
                <w:sz w:val="24"/>
                <w:szCs w:val="24"/>
                <w:lang w:val="fr-BE"/>
              </w:rPr>
              <w:t>’</w:t>
            </w:r>
            <w:r w:rsidRPr="002E1729">
              <w:rPr>
                <w:rFonts w:ascii="Times New Roman" w:eastAsia="Calibri" w:hAnsi="Times New Roman" w:cs="Times New Roman"/>
                <w:sz w:val="24"/>
                <w:szCs w:val="24"/>
                <w:lang w:val="fr-BE"/>
              </w:rPr>
              <w:t>un collège de commissaires ?</w:t>
            </w:r>
          </w:p>
        </w:tc>
        <w:tc>
          <w:tcPr>
            <w:tcW w:w="637" w:type="pct"/>
            <w:gridSpan w:val="2"/>
            <w:tcBorders>
              <w:top w:val="nil"/>
              <w:left w:val="nil"/>
              <w:bottom w:val="nil"/>
              <w:right w:val="nil"/>
            </w:tcBorders>
          </w:tcPr>
          <w:p w14:paraId="249CEFF3" w14:textId="77777777" w:rsidR="00623AAE" w:rsidRPr="00DE2864" w:rsidRDefault="00623AAE">
            <w:pPr>
              <w:tabs>
                <w:tab w:val="left" w:pos="426"/>
                <w:tab w:val="num" w:pos="1134"/>
              </w:tabs>
              <w:ind w:left="426" w:hanging="426"/>
              <w:contextualSpacing/>
              <w:jc w:val="right"/>
              <w:rPr>
                <w:rFonts w:ascii="Times New Roman" w:eastAsia="Calibri" w:hAnsi="Times New Roman" w:cs="Times New Roman"/>
                <w:sz w:val="24"/>
                <w:szCs w:val="24"/>
              </w:rPr>
            </w:pPr>
            <w:r w:rsidRPr="00DE2864">
              <w:rPr>
                <w:rFonts w:ascii="Times New Roman" w:eastAsia="Calibri" w:hAnsi="Times New Roman" w:cs="Times New Roman"/>
                <w:sz w:val="24"/>
                <w:szCs w:val="24"/>
              </w:rPr>
              <w:t>98</w:t>
            </w:r>
          </w:p>
        </w:tc>
      </w:tr>
      <w:tr w:rsidR="00623AAE" w:rsidRPr="007C40CA" w14:paraId="249CEFF9" w14:textId="77777777">
        <w:tc>
          <w:tcPr>
            <w:tcW w:w="4363" w:type="pct"/>
            <w:tcBorders>
              <w:top w:val="nil"/>
              <w:left w:val="nil"/>
              <w:bottom w:val="nil"/>
              <w:right w:val="nil"/>
            </w:tcBorders>
          </w:tcPr>
          <w:p w14:paraId="249CEFF5" w14:textId="77777777" w:rsidR="00623AAE" w:rsidRDefault="00623AAE" w:rsidP="00F474C6">
            <w:pPr>
              <w:pStyle w:val="ListParagraph"/>
              <w:numPr>
                <w:ilvl w:val="0"/>
                <w:numId w:val="7"/>
              </w:numPr>
              <w:tabs>
                <w:tab w:val="left" w:pos="426"/>
              </w:tabs>
              <w:spacing w:after="0" w:line="240" w:lineRule="auto"/>
              <w:jc w:val="both"/>
              <w:rPr>
                <w:rFonts w:ascii="Times New Roman" w:eastAsia="Calibri" w:hAnsi="Times New Roman" w:cs="Times New Roman"/>
                <w:sz w:val="24"/>
                <w:szCs w:val="24"/>
                <w:lang w:val="fr-BE"/>
              </w:rPr>
            </w:pPr>
            <w:r w:rsidRPr="002E1729">
              <w:rPr>
                <w:rFonts w:ascii="Times New Roman" w:eastAsia="Calibri" w:hAnsi="Times New Roman" w:cs="Times New Roman"/>
                <w:sz w:val="24"/>
                <w:szCs w:val="24"/>
                <w:lang w:val="fr-BE"/>
              </w:rPr>
              <w:t>Modifications des comptes annuels après la signature du rapport de révision : faut-il rédiger un nouveau rapport ?</w:t>
            </w:r>
          </w:p>
          <w:p w14:paraId="249CEFF6" w14:textId="77777777" w:rsidR="00F474C6" w:rsidRDefault="00F474C6" w:rsidP="00F474C6">
            <w:pPr>
              <w:pStyle w:val="ListParagraph"/>
              <w:numPr>
                <w:ilvl w:val="1"/>
                <w:numId w:val="7"/>
              </w:numPr>
              <w:spacing w:after="0"/>
              <w:ind w:left="1865" w:hanging="357"/>
              <w:jc w:val="both"/>
              <w:rPr>
                <w:rFonts w:ascii="Times New Roman" w:eastAsia="Calibri" w:hAnsi="Times New Roman" w:cs="Times New Roman"/>
                <w:sz w:val="24"/>
                <w:szCs w:val="24"/>
                <w:lang w:val="fr-BE"/>
              </w:rPr>
            </w:pPr>
            <w:r w:rsidRPr="00DE2864">
              <w:rPr>
                <w:rFonts w:ascii="Times New Roman" w:eastAsia="Calibri" w:hAnsi="Times New Roman" w:cs="Times New Roman"/>
                <w:sz w:val="24"/>
                <w:szCs w:val="24"/>
                <w:lang w:val="fr-BE"/>
              </w:rPr>
              <w:t>Modification par l</w:t>
            </w:r>
            <w:r>
              <w:rPr>
                <w:rFonts w:ascii="Times New Roman" w:eastAsia="Calibri" w:hAnsi="Times New Roman" w:cs="Times New Roman"/>
                <w:sz w:val="24"/>
                <w:szCs w:val="24"/>
                <w:lang w:val="fr-BE"/>
              </w:rPr>
              <w:t>’</w:t>
            </w:r>
            <w:r w:rsidRPr="00DE2864">
              <w:rPr>
                <w:rFonts w:ascii="Times New Roman" w:eastAsia="Calibri" w:hAnsi="Times New Roman" w:cs="Times New Roman"/>
                <w:sz w:val="24"/>
                <w:szCs w:val="24"/>
                <w:lang w:val="fr-BE"/>
              </w:rPr>
              <w:t>organe de gestion</w:t>
            </w:r>
          </w:p>
          <w:p w14:paraId="249CEFF7" w14:textId="77777777" w:rsidR="00F474C6" w:rsidRPr="002E1729" w:rsidRDefault="00F474C6" w:rsidP="00F474C6">
            <w:pPr>
              <w:pStyle w:val="ListParagraph"/>
              <w:numPr>
                <w:ilvl w:val="1"/>
                <w:numId w:val="7"/>
              </w:numPr>
              <w:spacing w:after="0"/>
              <w:ind w:left="1865" w:hanging="357"/>
              <w:jc w:val="both"/>
              <w:rPr>
                <w:rFonts w:ascii="Times New Roman" w:eastAsia="Calibri" w:hAnsi="Times New Roman" w:cs="Times New Roman"/>
                <w:sz w:val="24"/>
                <w:szCs w:val="24"/>
                <w:lang w:val="fr-BE"/>
              </w:rPr>
            </w:pPr>
            <w:r w:rsidRPr="00DE2864">
              <w:rPr>
                <w:rFonts w:ascii="Times New Roman" w:eastAsia="Calibri" w:hAnsi="Times New Roman" w:cs="Times New Roman"/>
                <w:sz w:val="24"/>
                <w:szCs w:val="24"/>
                <w:lang w:val="fr-BE"/>
              </w:rPr>
              <w:t>Modification par ou au cours de l</w:t>
            </w:r>
            <w:r>
              <w:rPr>
                <w:rFonts w:ascii="Times New Roman" w:eastAsia="Calibri" w:hAnsi="Times New Roman" w:cs="Times New Roman"/>
                <w:sz w:val="24"/>
                <w:szCs w:val="24"/>
                <w:lang w:val="fr-BE"/>
              </w:rPr>
              <w:t>’</w:t>
            </w:r>
            <w:r w:rsidRPr="00DE2864">
              <w:rPr>
                <w:rFonts w:ascii="Times New Roman" w:eastAsia="Calibri" w:hAnsi="Times New Roman" w:cs="Times New Roman"/>
                <w:sz w:val="24"/>
                <w:szCs w:val="24"/>
                <w:lang w:val="fr-BE"/>
              </w:rPr>
              <w:t>assemblée générale</w:t>
            </w:r>
          </w:p>
        </w:tc>
        <w:tc>
          <w:tcPr>
            <w:tcW w:w="637" w:type="pct"/>
            <w:gridSpan w:val="2"/>
            <w:tcBorders>
              <w:top w:val="nil"/>
              <w:left w:val="nil"/>
              <w:bottom w:val="nil"/>
              <w:right w:val="nil"/>
            </w:tcBorders>
          </w:tcPr>
          <w:p w14:paraId="249CEFF8" w14:textId="77777777" w:rsidR="00623AAE" w:rsidRPr="00DE2864" w:rsidRDefault="00623AAE">
            <w:pPr>
              <w:tabs>
                <w:tab w:val="left" w:pos="426"/>
                <w:tab w:val="num" w:pos="1134"/>
              </w:tabs>
              <w:ind w:left="426" w:hanging="426"/>
              <w:contextualSpacing/>
              <w:jc w:val="right"/>
              <w:rPr>
                <w:rFonts w:ascii="Times New Roman" w:eastAsia="Calibri" w:hAnsi="Times New Roman" w:cs="Times New Roman"/>
                <w:sz w:val="24"/>
                <w:szCs w:val="24"/>
              </w:rPr>
            </w:pPr>
            <w:r w:rsidRPr="00DE2864">
              <w:rPr>
                <w:rFonts w:ascii="Times New Roman" w:eastAsia="Calibri" w:hAnsi="Times New Roman" w:cs="Times New Roman"/>
                <w:sz w:val="24"/>
                <w:szCs w:val="24"/>
              </w:rPr>
              <w:t>99</w:t>
            </w:r>
          </w:p>
        </w:tc>
      </w:tr>
      <w:tr w:rsidR="00623AAE" w:rsidRPr="007C40CA" w14:paraId="249CEFFC" w14:textId="77777777">
        <w:tc>
          <w:tcPr>
            <w:tcW w:w="4363" w:type="pct"/>
            <w:tcBorders>
              <w:top w:val="nil"/>
              <w:left w:val="nil"/>
              <w:bottom w:val="nil"/>
              <w:right w:val="nil"/>
            </w:tcBorders>
          </w:tcPr>
          <w:p w14:paraId="249CEFFA" w14:textId="77777777" w:rsidR="00623AAE" w:rsidRPr="002E1729" w:rsidRDefault="00623AAE" w:rsidP="002E1729">
            <w:pPr>
              <w:pStyle w:val="ListParagraph"/>
              <w:numPr>
                <w:ilvl w:val="0"/>
                <w:numId w:val="7"/>
              </w:numPr>
              <w:tabs>
                <w:tab w:val="left" w:pos="426"/>
              </w:tabs>
              <w:spacing w:after="0" w:line="240" w:lineRule="auto"/>
              <w:ind w:left="709"/>
              <w:jc w:val="both"/>
              <w:rPr>
                <w:rFonts w:ascii="Times New Roman" w:eastAsia="Calibri" w:hAnsi="Times New Roman" w:cs="Times New Roman"/>
                <w:sz w:val="24"/>
                <w:szCs w:val="24"/>
                <w:lang w:val="fr-BE"/>
              </w:rPr>
            </w:pPr>
            <w:r w:rsidRPr="002E1729">
              <w:rPr>
                <w:rFonts w:ascii="Times New Roman" w:eastAsia="Calibri" w:hAnsi="Times New Roman" w:cs="Times New Roman"/>
                <w:sz w:val="24"/>
                <w:szCs w:val="24"/>
                <w:lang w:val="fr-BE"/>
              </w:rPr>
              <w:t>A quelle occasion le commissaire établit-il un rapport de carence, à qui l</w:t>
            </w:r>
            <w:r w:rsidR="001E138C">
              <w:rPr>
                <w:rFonts w:ascii="Times New Roman" w:eastAsia="Calibri" w:hAnsi="Times New Roman" w:cs="Times New Roman"/>
                <w:sz w:val="24"/>
                <w:szCs w:val="24"/>
                <w:lang w:val="fr-BE"/>
              </w:rPr>
              <w:t>’</w:t>
            </w:r>
            <w:r w:rsidRPr="002E1729">
              <w:rPr>
                <w:rFonts w:ascii="Times New Roman" w:eastAsia="Calibri" w:hAnsi="Times New Roman" w:cs="Times New Roman"/>
                <w:sz w:val="24"/>
                <w:szCs w:val="24"/>
                <w:lang w:val="fr-BE"/>
              </w:rPr>
              <w:t>adresse-t-il et qui doit-il mentionner ?</w:t>
            </w:r>
          </w:p>
        </w:tc>
        <w:tc>
          <w:tcPr>
            <w:tcW w:w="637" w:type="pct"/>
            <w:gridSpan w:val="2"/>
            <w:tcBorders>
              <w:top w:val="nil"/>
              <w:left w:val="nil"/>
              <w:bottom w:val="nil"/>
              <w:right w:val="nil"/>
            </w:tcBorders>
          </w:tcPr>
          <w:p w14:paraId="249CEFFB" w14:textId="77777777" w:rsidR="00623AAE" w:rsidRPr="00DE2864" w:rsidRDefault="00623AAE">
            <w:pPr>
              <w:tabs>
                <w:tab w:val="left" w:pos="426"/>
                <w:tab w:val="num" w:pos="1134"/>
              </w:tabs>
              <w:ind w:left="426" w:hanging="426"/>
              <w:contextualSpacing/>
              <w:jc w:val="right"/>
              <w:rPr>
                <w:rFonts w:ascii="Times New Roman" w:eastAsia="Calibri" w:hAnsi="Times New Roman" w:cs="Times New Roman"/>
                <w:sz w:val="24"/>
                <w:szCs w:val="24"/>
              </w:rPr>
            </w:pPr>
            <w:r w:rsidRPr="00DE2864">
              <w:rPr>
                <w:rFonts w:ascii="Times New Roman" w:eastAsia="Calibri" w:hAnsi="Times New Roman" w:cs="Times New Roman"/>
                <w:sz w:val="24"/>
                <w:szCs w:val="24"/>
              </w:rPr>
              <w:t>100</w:t>
            </w:r>
          </w:p>
        </w:tc>
      </w:tr>
      <w:tr w:rsidR="00623AAE" w:rsidRPr="007C40CA" w14:paraId="249CF001" w14:textId="77777777">
        <w:tc>
          <w:tcPr>
            <w:tcW w:w="4363" w:type="pct"/>
            <w:tcBorders>
              <w:top w:val="nil"/>
              <w:left w:val="nil"/>
              <w:bottom w:val="nil"/>
              <w:right w:val="nil"/>
            </w:tcBorders>
          </w:tcPr>
          <w:p w14:paraId="249CEFFD" w14:textId="77777777" w:rsidR="00623AAE" w:rsidRPr="002E1729" w:rsidRDefault="00623AAE" w:rsidP="002E1729">
            <w:pPr>
              <w:pStyle w:val="ListParagraph"/>
              <w:numPr>
                <w:ilvl w:val="0"/>
                <w:numId w:val="7"/>
              </w:numPr>
              <w:tabs>
                <w:tab w:val="left" w:pos="426"/>
              </w:tabs>
              <w:spacing w:after="0" w:line="240" w:lineRule="auto"/>
              <w:ind w:left="709"/>
              <w:jc w:val="both"/>
              <w:rPr>
                <w:rFonts w:ascii="Times New Roman" w:eastAsia="Calibri" w:hAnsi="Times New Roman" w:cs="Times New Roman"/>
                <w:sz w:val="24"/>
                <w:szCs w:val="24"/>
                <w:lang w:val="fr-BE"/>
              </w:rPr>
            </w:pPr>
            <w:r w:rsidRPr="002E1729">
              <w:rPr>
                <w:rFonts w:ascii="Times New Roman" w:eastAsia="Calibri" w:hAnsi="Times New Roman" w:cs="Times New Roman"/>
                <w:sz w:val="24"/>
                <w:szCs w:val="24"/>
                <w:lang w:val="fr-BE"/>
              </w:rPr>
              <w:t>Comment se passe la rédaction du rapport de révision lorsqu</w:t>
            </w:r>
            <w:r w:rsidR="001E138C">
              <w:rPr>
                <w:rFonts w:ascii="Times New Roman" w:eastAsia="Calibri" w:hAnsi="Times New Roman" w:cs="Times New Roman"/>
                <w:sz w:val="24"/>
                <w:szCs w:val="24"/>
                <w:lang w:val="fr-BE"/>
              </w:rPr>
              <w:t>’</w:t>
            </w:r>
            <w:r w:rsidRPr="002E1729">
              <w:rPr>
                <w:rFonts w:ascii="Times New Roman" w:eastAsia="Calibri" w:hAnsi="Times New Roman" w:cs="Times New Roman"/>
                <w:sz w:val="24"/>
                <w:szCs w:val="24"/>
                <w:lang w:val="fr-BE"/>
              </w:rPr>
              <w:t>un commissaire suppléant exerce la fonction de commissaire ?</w:t>
            </w:r>
          </w:p>
          <w:p w14:paraId="249CEFFF" w14:textId="77777777" w:rsidR="00292CB1" w:rsidRPr="00DE2864" w:rsidRDefault="00292CB1" w:rsidP="002E3240">
            <w:pPr>
              <w:tabs>
                <w:tab w:val="left" w:pos="426"/>
              </w:tabs>
              <w:spacing w:after="0" w:line="240" w:lineRule="auto"/>
              <w:contextualSpacing/>
              <w:jc w:val="both"/>
              <w:rPr>
                <w:rFonts w:ascii="Times New Roman" w:eastAsia="Calibri" w:hAnsi="Times New Roman" w:cs="Times New Roman"/>
                <w:sz w:val="24"/>
                <w:szCs w:val="24"/>
                <w:lang w:val="fr-BE"/>
              </w:rPr>
            </w:pPr>
          </w:p>
        </w:tc>
        <w:tc>
          <w:tcPr>
            <w:tcW w:w="637" w:type="pct"/>
            <w:gridSpan w:val="2"/>
            <w:tcBorders>
              <w:top w:val="nil"/>
              <w:left w:val="nil"/>
              <w:bottom w:val="nil"/>
              <w:right w:val="nil"/>
            </w:tcBorders>
          </w:tcPr>
          <w:p w14:paraId="249CF000" w14:textId="77777777" w:rsidR="00623AAE" w:rsidRPr="00DE2864" w:rsidRDefault="00623AAE">
            <w:pPr>
              <w:tabs>
                <w:tab w:val="left" w:pos="426"/>
                <w:tab w:val="num" w:pos="1134"/>
              </w:tabs>
              <w:ind w:left="426" w:hanging="426"/>
              <w:contextualSpacing/>
              <w:jc w:val="right"/>
              <w:rPr>
                <w:rFonts w:ascii="Times New Roman" w:eastAsia="Calibri" w:hAnsi="Times New Roman" w:cs="Times New Roman"/>
                <w:sz w:val="24"/>
                <w:szCs w:val="24"/>
              </w:rPr>
            </w:pPr>
            <w:r w:rsidRPr="00DE2864">
              <w:rPr>
                <w:rFonts w:ascii="Times New Roman" w:eastAsia="Calibri" w:hAnsi="Times New Roman" w:cs="Times New Roman"/>
                <w:sz w:val="24"/>
                <w:szCs w:val="24"/>
              </w:rPr>
              <w:t>101</w:t>
            </w:r>
          </w:p>
        </w:tc>
      </w:tr>
    </w:tbl>
    <w:p w14:paraId="249CF002" w14:textId="77777777" w:rsidR="008161A0" w:rsidRDefault="008161A0" w:rsidP="008161A0">
      <w:pPr>
        <w:pStyle w:val="ListParagraph"/>
        <w:jc w:val="both"/>
        <w:rPr>
          <w:rFonts w:ascii="Times New Roman" w:eastAsia="Calibri" w:hAnsi="Times New Roman" w:cs="Times New Roman"/>
          <w:b/>
          <w:sz w:val="24"/>
          <w:szCs w:val="24"/>
          <w:lang w:val="fr-BE"/>
        </w:rPr>
      </w:pPr>
    </w:p>
    <w:p w14:paraId="249CF003" w14:textId="77777777" w:rsidR="00365CDB" w:rsidRPr="00623AAE" w:rsidRDefault="00D914E0" w:rsidP="00365CDB">
      <w:pPr>
        <w:pStyle w:val="ListParagraph"/>
        <w:numPr>
          <w:ilvl w:val="0"/>
          <w:numId w:val="2"/>
        </w:numPr>
        <w:jc w:val="both"/>
        <w:rPr>
          <w:rFonts w:ascii="Times New Roman" w:eastAsia="Calibri" w:hAnsi="Times New Roman" w:cs="Times New Roman"/>
          <w:b/>
          <w:sz w:val="24"/>
          <w:szCs w:val="24"/>
          <w:lang w:val="fr-BE"/>
        </w:rPr>
      </w:pPr>
      <w:r>
        <w:rPr>
          <w:rFonts w:ascii="Times New Roman" w:eastAsia="Calibri" w:hAnsi="Times New Roman" w:cs="Times New Roman"/>
          <w:b/>
          <w:sz w:val="24"/>
          <w:szCs w:val="24"/>
          <w:lang w:val="fr-BE"/>
        </w:rPr>
        <w:t>Sélection</w:t>
      </w:r>
      <w:r w:rsidR="002E1729">
        <w:rPr>
          <w:rFonts w:ascii="Times New Roman" w:eastAsia="Calibri" w:hAnsi="Times New Roman" w:cs="Times New Roman"/>
          <w:b/>
          <w:sz w:val="24"/>
          <w:szCs w:val="24"/>
          <w:lang w:val="fr-BE"/>
        </w:rPr>
        <w:t xml:space="preserve"> d</w:t>
      </w:r>
      <w:r w:rsidR="001E138C">
        <w:rPr>
          <w:rFonts w:ascii="Times New Roman" w:eastAsia="Calibri" w:hAnsi="Times New Roman" w:cs="Times New Roman"/>
          <w:b/>
          <w:sz w:val="24"/>
          <w:szCs w:val="24"/>
          <w:lang w:val="fr-BE"/>
        </w:rPr>
        <w:t>’</w:t>
      </w:r>
      <w:r w:rsidR="002E1729">
        <w:rPr>
          <w:rFonts w:ascii="Times New Roman" w:eastAsia="Calibri" w:hAnsi="Times New Roman" w:cs="Times New Roman"/>
          <w:b/>
          <w:sz w:val="24"/>
          <w:szCs w:val="24"/>
          <w:lang w:val="fr-BE"/>
        </w:rPr>
        <w:t>a</w:t>
      </w:r>
      <w:r w:rsidR="00623AAE" w:rsidRPr="00623AAE">
        <w:rPr>
          <w:rFonts w:ascii="Times New Roman" w:eastAsia="Calibri" w:hAnsi="Times New Roman" w:cs="Times New Roman"/>
          <w:b/>
          <w:sz w:val="24"/>
          <w:szCs w:val="24"/>
          <w:lang w:val="fr-BE"/>
        </w:rPr>
        <w:t>vis émis par l</w:t>
      </w:r>
      <w:r w:rsidR="001E138C">
        <w:rPr>
          <w:rFonts w:ascii="Times New Roman" w:eastAsia="Calibri" w:hAnsi="Times New Roman" w:cs="Times New Roman"/>
          <w:b/>
          <w:sz w:val="24"/>
          <w:szCs w:val="24"/>
          <w:lang w:val="fr-BE"/>
        </w:rPr>
        <w:t>’</w:t>
      </w:r>
      <w:r w:rsidR="00623AAE" w:rsidRPr="00623AAE">
        <w:rPr>
          <w:rFonts w:ascii="Times New Roman" w:eastAsia="Calibri" w:hAnsi="Times New Roman" w:cs="Times New Roman"/>
          <w:b/>
          <w:sz w:val="24"/>
          <w:szCs w:val="24"/>
          <w:lang w:val="fr-BE"/>
        </w:rPr>
        <w:t>ICCI relatifs au rapport du commissaire</w:t>
      </w:r>
      <w:r w:rsidR="002E1729">
        <w:rPr>
          <w:rFonts w:ascii="Times New Roman" w:eastAsia="Calibri" w:hAnsi="Times New Roman" w:cs="Times New Roman"/>
          <w:b/>
          <w:sz w:val="24"/>
          <w:szCs w:val="24"/>
          <w:lang w:val="fr-BE"/>
        </w:rPr>
        <w:t xml:space="preserve"> </w:t>
      </w:r>
      <w:r w:rsidR="002E1729">
        <w:rPr>
          <w:rFonts w:ascii="Times New Roman" w:eastAsia="Calibri" w:hAnsi="Times New Roman" w:cs="Times New Roman"/>
          <w:sz w:val="24"/>
          <w:szCs w:val="24"/>
          <w:lang w:val="fr-BE"/>
        </w:rPr>
        <w:t>(</w:t>
      </w:r>
      <w:hyperlink r:id="rId11" w:history="1">
        <w:r w:rsidRPr="009F12C8">
          <w:rPr>
            <w:rStyle w:val="Hyperlink"/>
            <w:rFonts w:ascii="Times New Roman" w:eastAsia="Calibri" w:hAnsi="Times New Roman" w:cs="Times New Roman"/>
            <w:sz w:val="24"/>
            <w:szCs w:val="24"/>
            <w:lang w:val="fr-BE"/>
          </w:rPr>
          <w:t>www.icci.be</w:t>
        </w:r>
      </w:hyperlink>
      <w:r w:rsidR="002E1729">
        <w:rPr>
          <w:rFonts w:ascii="Times New Roman" w:eastAsia="Calibri" w:hAnsi="Times New Roman" w:cs="Times New Roman"/>
          <w:sz w:val="24"/>
          <w:szCs w:val="24"/>
          <w:lang w:val="fr-BE"/>
        </w:rPr>
        <w:t>)</w:t>
      </w:r>
      <w:r w:rsidR="00FC4627">
        <w:rPr>
          <w:rFonts w:ascii="Times New Roman" w:eastAsia="Calibri" w:hAnsi="Times New Roman" w:cs="Times New Roman"/>
          <w:sz w:val="24"/>
          <w:szCs w:val="24"/>
          <w:lang w:val="fr-BE"/>
        </w:rPr>
        <w:t xml:space="preserve"> (M</w:t>
      </w:r>
      <w:r>
        <w:rPr>
          <w:rFonts w:ascii="Times New Roman" w:eastAsia="Calibri" w:hAnsi="Times New Roman" w:cs="Times New Roman"/>
          <w:sz w:val="24"/>
          <w:szCs w:val="24"/>
          <w:lang w:val="fr-BE"/>
        </w:rPr>
        <w:t xml:space="preserve">ots-clés : rapport du commissaire, </w:t>
      </w:r>
      <w:r w:rsidR="008811A3">
        <w:rPr>
          <w:rFonts w:ascii="Times New Roman" w:eastAsia="Calibri" w:hAnsi="Times New Roman" w:cs="Times New Roman"/>
          <w:sz w:val="24"/>
          <w:szCs w:val="24"/>
          <w:lang w:val="fr-BE"/>
        </w:rPr>
        <w:t>rapport de carence, commissarisverslag, verslag van niet-bevinding)</w:t>
      </w:r>
    </w:p>
    <w:p w14:paraId="249CF004" w14:textId="77777777" w:rsidR="00365CDB" w:rsidRDefault="00365CDB" w:rsidP="002E1729">
      <w:pPr>
        <w:pStyle w:val="ListParagraph"/>
        <w:ind w:left="709"/>
        <w:jc w:val="both"/>
        <w:rPr>
          <w:rFonts w:ascii="Times New Roman" w:eastAsia="Calibri" w:hAnsi="Times New Roman" w:cs="Times New Roman"/>
          <w:sz w:val="24"/>
          <w:szCs w:val="24"/>
          <w:lang w:val="fr-BE"/>
        </w:rPr>
      </w:pPr>
    </w:p>
    <w:p w14:paraId="31B435E4" w14:textId="77777777" w:rsidR="000356AC" w:rsidRDefault="000356AC" w:rsidP="000356AC">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 xml:space="preserve">Advies van 8 december 2022: </w:t>
      </w:r>
      <w:r w:rsidRPr="001E5A3B">
        <w:rPr>
          <w:rFonts w:ascii="Times New Roman" w:eastAsia="Times New Roman" w:hAnsi="Times New Roman" w:cs="Times New Roman"/>
          <w:sz w:val="24"/>
          <w:szCs w:val="24"/>
          <w:lang w:val="fr-BE"/>
        </w:rPr>
        <w:t>Key audit matters (kernpunten van de controle) in het commissarisverslag van een niet OOB - Key audit matters (points clés d’audit) dans le rapport de commissaire d’une entité non EIP</w:t>
      </w:r>
    </w:p>
    <w:p w14:paraId="69844212" w14:textId="77777777" w:rsidR="000356AC" w:rsidRDefault="000356AC" w:rsidP="000356AC">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 xml:space="preserve">advies van 16 november 2022: </w:t>
      </w:r>
      <w:r w:rsidRPr="009C6C56">
        <w:rPr>
          <w:rFonts w:ascii="Times New Roman" w:eastAsia="Times New Roman" w:hAnsi="Times New Roman" w:cs="Times New Roman"/>
          <w:sz w:val="24"/>
          <w:szCs w:val="24"/>
          <w:lang w:val="fr-BE"/>
        </w:rPr>
        <w:t>Moment van afsluiting van een boekjaar - Moment de la clôture d’un exercice</w:t>
      </w:r>
      <w:r>
        <w:rPr>
          <w:rFonts w:ascii="Times New Roman" w:eastAsia="Times New Roman" w:hAnsi="Times New Roman" w:cs="Times New Roman"/>
          <w:sz w:val="24"/>
          <w:szCs w:val="24"/>
          <w:lang w:val="fr-BE"/>
        </w:rPr>
        <w:t xml:space="preserve"> (ontbinding en vereffening – dissolution et liquidation)</w:t>
      </w:r>
    </w:p>
    <w:p w14:paraId="11E78901" w14:textId="77777777" w:rsidR="000356AC" w:rsidRDefault="000356AC" w:rsidP="000356AC">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 xml:space="preserve">Advies van 6 juni 2022: </w:t>
      </w:r>
      <w:r w:rsidRPr="00D72CF5">
        <w:rPr>
          <w:rFonts w:ascii="Times New Roman" w:eastAsia="Times New Roman" w:hAnsi="Times New Roman" w:cs="Times New Roman"/>
          <w:sz w:val="24"/>
          <w:szCs w:val="24"/>
          <w:lang w:val="fr-BE"/>
        </w:rPr>
        <w:t>Commissarisverslag met betrekking tot de liquiditeitstest – Termijn van ondertekening - Rapport du commissaire sur le test de liquidité – délai de signature</w:t>
      </w:r>
      <w:r>
        <w:rPr>
          <w:rFonts w:ascii="Times New Roman" w:eastAsia="Times New Roman" w:hAnsi="Times New Roman" w:cs="Times New Roman"/>
          <w:sz w:val="24"/>
          <w:szCs w:val="24"/>
          <w:lang w:val="fr-BE"/>
        </w:rPr>
        <w:t xml:space="preserve"> </w:t>
      </w:r>
    </w:p>
    <w:p w14:paraId="7A7FA461" w14:textId="77777777" w:rsidR="000356AC" w:rsidRDefault="000356AC" w:rsidP="000356AC">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 xml:space="preserve">Advies 15 december 2021: </w:t>
      </w:r>
      <w:r w:rsidRPr="00A351CA">
        <w:rPr>
          <w:rFonts w:ascii="Times New Roman" w:eastAsia="Times New Roman" w:hAnsi="Times New Roman" w:cs="Times New Roman"/>
          <w:sz w:val="24"/>
          <w:szCs w:val="24"/>
          <w:lang w:val="fr-BE"/>
        </w:rPr>
        <w:t>Begrip van de opdracht van de commissaris in artikel 7:96 WVV wanneer alle bestuurders een belangenconflict hebben - Compréhension de la mission du commissaire dans l'article 7:96 CSA lorsque tous les administrateurs ont un conflit d'intérêts</w:t>
      </w:r>
    </w:p>
    <w:p w14:paraId="0DD22636" w14:textId="77777777" w:rsidR="000356AC" w:rsidRDefault="000356AC" w:rsidP="000356AC">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lastRenderedPageBreak/>
        <w:t xml:space="preserve">Advies van 2 november 2021: </w:t>
      </w:r>
      <w:r w:rsidRPr="00DA7878">
        <w:rPr>
          <w:rFonts w:ascii="Times New Roman" w:eastAsia="Times New Roman" w:hAnsi="Times New Roman" w:cs="Times New Roman"/>
          <w:sz w:val="24"/>
          <w:szCs w:val="24"/>
          <w:lang w:val="fr-BE"/>
        </w:rPr>
        <w:t>Liquiditeits- en nettoactieftest - Test de liquidité et test d’actif net – application dans le cadre d’une liquidation</w:t>
      </w:r>
    </w:p>
    <w:p w14:paraId="52109A97" w14:textId="77777777" w:rsidR="000356AC" w:rsidRDefault="000356AC" w:rsidP="000356AC">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Advies van 7 juli 2021: Verslag van niet-bevinding – Rapport de carence</w:t>
      </w:r>
    </w:p>
    <w:p w14:paraId="62077CCD" w14:textId="77777777" w:rsidR="000356AC" w:rsidRDefault="000356AC" w:rsidP="000356AC">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 xml:space="preserve">Advies van 28 juni 2021: </w:t>
      </w:r>
      <w:r w:rsidRPr="00A16303">
        <w:rPr>
          <w:rFonts w:ascii="Times New Roman" w:eastAsia="Times New Roman" w:hAnsi="Times New Roman" w:cs="Times New Roman"/>
          <w:sz w:val="24"/>
          <w:szCs w:val="24"/>
          <w:lang w:val="fr-BE"/>
        </w:rPr>
        <w:t>Impact van een onthouding op de resultatenrekening van boekjaar N-1 op het oordeel over de resultatenrekening van boekjaar N - Impact d’une abstention sur le compte de résultats de l’exercice N-1 sur l’opinion du compte de résultats de l’exercice N</w:t>
      </w:r>
    </w:p>
    <w:p w14:paraId="544BBE88" w14:textId="77777777" w:rsidR="000356AC" w:rsidRDefault="000356AC" w:rsidP="000356AC">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 xml:space="preserve">Advies van 30 maart 2021: </w:t>
      </w:r>
      <w:r w:rsidRPr="00742DEF">
        <w:rPr>
          <w:rFonts w:ascii="Times New Roman" w:eastAsia="Times New Roman" w:hAnsi="Times New Roman" w:cs="Times New Roman"/>
          <w:sz w:val="24"/>
          <w:szCs w:val="24"/>
          <w:lang w:val="fr-BE"/>
        </w:rPr>
        <w:t>UBO – categorie – vermelding in het commissarisverslag - UBO – catégorie – mention dans le rapport du commissaire</w:t>
      </w:r>
    </w:p>
    <w:p w14:paraId="4BB67BDE" w14:textId="77777777" w:rsidR="002E3240" w:rsidRDefault="002E3240" w:rsidP="002E3240">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Advies van 14 mei 2020 : Nieuw WVV – commissarisverslag - liquiditeitstest</w:t>
      </w:r>
    </w:p>
    <w:p w14:paraId="32BAE278" w14:textId="77777777" w:rsidR="002E3240" w:rsidRDefault="002E3240" w:rsidP="002E3240">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Advies van 16 april 2020 : Art. 5:143 WVV – ondertekening representation letter</w:t>
      </w:r>
    </w:p>
    <w:p w14:paraId="468EE1DF" w14:textId="77777777" w:rsidR="002E3240" w:rsidRDefault="002E3240" w:rsidP="002E3240">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 xml:space="preserve">Avis du 4 février 2020 : </w:t>
      </w:r>
      <w:r w:rsidRPr="00B51BE8">
        <w:rPr>
          <w:rFonts w:ascii="Times New Roman" w:eastAsia="Times New Roman" w:hAnsi="Times New Roman" w:cs="Times New Roman"/>
          <w:sz w:val="24"/>
          <w:szCs w:val="24"/>
          <w:lang w:val="fr-BE"/>
        </w:rPr>
        <w:t>ASBL où un commissaire est nommé – obligation de déposer et publier ses comptes annuels et le rapport du commissaire</w:t>
      </w:r>
    </w:p>
    <w:p w14:paraId="727BFE67" w14:textId="77777777" w:rsidR="002E3240" w:rsidRDefault="002E3240" w:rsidP="002E3240">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Advies van 25 juli 2019 : Ondertekening van de gepubliceerde versie van het commissarisverslag</w:t>
      </w:r>
    </w:p>
    <w:p w14:paraId="249CF005" w14:textId="77777777" w:rsidR="00393477" w:rsidRPr="0005549A" w:rsidRDefault="00393477" w:rsidP="00393477">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fr-BE"/>
        </w:rPr>
      </w:pPr>
      <w:r w:rsidRPr="0005549A">
        <w:rPr>
          <w:rFonts w:ascii="Times New Roman" w:eastAsia="Times New Roman" w:hAnsi="Times New Roman" w:cs="Times New Roman"/>
          <w:sz w:val="24"/>
          <w:szCs w:val="24"/>
          <w:lang w:val="fr-BE"/>
        </w:rPr>
        <w:t>Avis du 13 juin 2019: Association d</w:t>
      </w:r>
      <w:r>
        <w:rPr>
          <w:rFonts w:ascii="Times New Roman" w:eastAsia="Times New Roman" w:hAnsi="Times New Roman" w:cs="Times New Roman"/>
          <w:sz w:val="24"/>
          <w:szCs w:val="24"/>
          <w:lang w:val="fr-BE"/>
        </w:rPr>
        <w:t>e fait et le registre UBO</w:t>
      </w:r>
    </w:p>
    <w:p w14:paraId="249CF006" w14:textId="77777777" w:rsidR="00393477" w:rsidRPr="0005549A" w:rsidRDefault="00393477" w:rsidP="00393477">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05549A">
        <w:rPr>
          <w:rFonts w:ascii="Times New Roman" w:eastAsia="Times New Roman" w:hAnsi="Times New Roman" w:cs="Times New Roman"/>
          <w:sz w:val="24"/>
          <w:szCs w:val="24"/>
        </w:rPr>
        <w:t>Advies van 7 juni 2019 : Geconsolideerde j</w:t>
      </w:r>
      <w:r>
        <w:rPr>
          <w:rFonts w:ascii="Times New Roman" w:eastAsia="Times New Roman" w:hAnsi="Times New Roman" w:cs="Times New Roman"/>
          <w:sz w:val="24"/>
          <w:szCs w:val="24"/>
        </w:rPr>
        <w:t>aarrekening en verslag van niet-bevinding</w:t>
      </w:r>
    </w:p>
    <w:p w14:paraId="249CF007" w14:textId="77777777" w:rsidR="003D34D0" w:rsidRDefault="003D34D0" w:rsidP="003D34D0">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fr-BE"/>
        </w:rPr>
      </w:pPr>
      <w:r w:rsidRPr="005603B4">
        <w:rPr>
          <w:rFonts w:ascii="Times New Roman" w:eastAsia="Times New Roman" w:hAnsi="Times New Roman" w:cs="Times New Roman"/>
          <w:sz w:val="24"/>
          <w:szCs w:val="24"/>
          <w:lang w:val="fr-BE"/>
        </w:rPr>
        <w:t>Avis du 26 février 2019: Non-respect de l’</w:t>
      </w:r>
      <w:r>
        <w:rPr>
          <w:rFonts w:ascii="Times New Roman" w:eastAsia="Times New Roman" w:hAnsi="Times New Roman" w:cs="Times New Roman"/>
          <w:sz w:val="24"/>
          <w:szCs w:val="24"/>
          <w:lang w:val="fr-BE"/>
        </w:rPr>
        <w:t>obligation de soumettre les comptes annuels à l’approbation de l’assemblée générale dans les six mois de la clôture de l’exercice</w:t>
      </w:r>
    </w:p>
    <w:p w14:paraId="249CF008" w14:textId="77777777" w:rsidR="003D34D0" w:rsidRPr="005603B4" w:rsidRDefault="003D34D0" w:rsidP="003D34D0">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Avis du 9 juillet 2018 : Application de l’article 523 du Code des sociétés (conflit d’intérêts)</w:t>
      </w:r>
    </w:p>
    <w:p w14:paraId="249CF009" w14:textId="77777777" w:rsidR="003D34D0" w:rsidRDefault="003D34D0" w:rsidP="003D34D0">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Advies van 9 mei 2018: Vragen voorgelegd met betrekking tot het toepassingsgebied van de kernpunten van de controle en meer in het bijzonder van ISA 701</w:t>
      </w:r>
    </w:p>
    <w:p w14:paraId="249CF00A" w14:textId="77777777" w:rsidR="003D34D0" w:rsidRDefault="003D34D0" w:rsidP="003D34D0">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Advies van 2 maart 2018: Commissarisverslag en materialiteit voor controle van een OOB</w:t>
      </w:r>
    </w:p>
    <w:p w14:paraId="249CF00B" w14:textId="77777777" w:rsidR="003D34D0" w:rsidRPr="00450164" w:rsidRDefault="003D34D0">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Advies van 20 juli 2017: Impact op het commissarismandaat van de zetelverplaatsing van een vennootschap naar Zwitserland</w:t>
      </w:r>
    </w:p>
    <w:p w14:paraId="249CF00C" w14:textId="77777777" w:rsidR="008161A0" w:rsidRDefault="008161A0" w:rsidP="008161A0">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Advies van 28 juni 2017: </w:t>
      </w:r>
      <w:r w:rsidRPr="00E1379E">
        <w:rPr>
          <w:rFonts w:ascii="Times New Roman" w:eastAsia="Times New Roman" w:hAnsi="Times New Roman" w:cs="Times New Roman"/>
          <w:sz w:val="24"/>
          <w:szCs w:val="24"/>
        </w:rPr>
        <w:t>Commissarisverslag over een voorgaand boekjaar na de zetelverplaatsing van de vennootschap vanuit België naar Nederland</w:t>
      </w:r>
    </w:p>
    <w:p w14:paraId="249CF00D" w14:textId="77777777" w:rsidR="008161A0" w:rsidRDefault="008161A0" w:rsidP="008161A0">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Advies van 29 maart 2017: </w:t>
      </w:r>
      <w:r w:rsidRPr="00E1379E">
        <w:rPr>
          <w:rFonts w:ascii="Times New Roman" w:eastAsia="Times New Roman" w:hAnsi="Times New Roman" w:cs="Times New Roman"/>
          <w:sz w:val="24"/>
          <w:szCs w:val="24"/>
        </w:rPr>
        <w:t>Impact van de niet up-to-date elektronische versie van het NBB-model van jaarrekening op het commissarisverslag</w:t>
      </w:r>
    </w:p>
    <w:p w14:paraId="249CF00E" w14:textId="77777777" w:rsidR="008161A0" w:rsidRDefault="008161A0" w:rsidP="008161A0">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Advies van 18 maart 2016: </w:t>
      </w:r>
      <w:r w:rsidRPr="00E1379E">
        <w:rPr>
          <w:rFonts w:ascii="Times New Roman" w:eastAsia="Times New Roman" w:hAnsi="Times New Roman" w:cs="Times New Roman"/>
          <w:sz w:val="24"/>
          <w:szCs w:val="24"/>
        </w:rPr>
        <w:t>Ondertekening van de gepubliceerde versie van het commissarisverslag</w:t>
      </w:r>
    </w:p>
    <w:p w14:paraId="249CF00F" w14:textId="77777777" w:rsidR="008161A0" w:rsidRDefault="008161A0" w:rsidP="008161A0">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Advies van 1 december 2015: </w:t>
      </w:r>
      <w:r w:rsidRPr="00E1379E">
        <w:rPr>
          <w:rFonts w:ascii="Times New Roman" w:eastAsia="Times New Roman" w:hAnsi="Times New Roman" w:cs="Times New Roman"/>
          <w:sz w:val="24"/>
          <w:szCs w:val="24"/>
        </w:rPr>
        <w:t>Precisering van ICCI-advies met betrekking tot de taalwetgeving</w:t>
      </w:r>
    </w:p>
    <w:p w14:paraId="249CF010" w14:textId="77777777" w:rsidR="008161A0" w:rsidRDefault="008161A0" w:rsidP="008161A0">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Advies van 29 juni 2015: </w:t>
      </w:r>
      <w:r w:rsidRPr="00E1379E">
        <w:rPr>
          <w:rFonts w:ascii="Times New Roman" w:eastAsia="Times New Roman" w:hAnsi="Times New Roman" w:cs="Times New Roman"/>
          <w:sz w:val="24"/>
          <w:szCs w:val="24"/>
        </w:rPr>
        <w:t>Controleverklaring van de commissaris – wijziging van referentiekader (ISA normen)</w:t>
      </w:r>
    </w:p>
    <w:p w14:paraId="249CF011" w14:textId="77777777" w:rsidR="008161A0" w:rsidRDefault="008161A0" w:rsidP="008161A0">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Advies van 10 april 2014: I</w:t>
      </w:r>
      <w:r w:rsidRPr="00E1379E">
        <w:rPr>
          <w:rFonts w:ascii="Times New Roman" w:eastAsia="Times New Roman" w:hAnsi="Times New Roman" w:cs="Times New Roman"/>
          <w:sz w:val="24"/>
          <w:szCs w:val="24"/>
        </w:rPr>
        <w:t>mpact van taalwetgeving op commissarisverslagen en op auditverslagen in het algemeen</w:t>
      </w:r>
    </w:p>
    <w:p w14:paraId="249CF012" w14:textId="77777777" w:rsidR="00B146DB" w:rsidRPr="00B146DB" w:rsidRDefault="00B146DB" w:rsidP="002E1729">
      <w:pPr>
        <w:pStyle w:val="ListParagraph"/>
        <w:numPr>
          <w:ilvl w:val="0"/>
          <w:numId w:val="7"/>
        </w:numPr>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Advies van 2 juli 2013: </w:t>
      </w:r>
      <w:r w:rsidRPr="00DD3A7D">
        <w:rPr>
          <w:rFonts w:ascii="Times New Roman" w:eastAsia="Times New Roman" w:hAnsi="Times New Roman" w:cs="Times New Roman"/>
          <w:sz w:val="24"/>
          <w:szCs w:val="24"/>
        </w:rPr>
        <w:t>Hanteren van een gemeenschappelijke (merk)naam om te worden benoemd als commissaris/bedrijfsrevisor</w:t>
      </w:r>
    </w:p>
    <w:p w14:paraId="249CF013" w14:textId="77777777" w:rsidR="002E1729" w:rsidRDefault="002E1729" w:rsidP="002E1729">
      <w:pPr>
        <w:pStyle w:val="ListParagraph"/>
        <w:numPr>
          <w:ilvl w:val="0"/>
          <w:numId w:val="7"/>
        </w:numPr>
        <w:jc w:val="both"/>
        <w:rPr>
          <w:rFonts w:ascii="Times New Roman" w:eastAsia="Calibri" w:hAnsi="Times New Roman" w:cs="Times New Roman"/>
          <w:sz w:val="24"/>
          <w:szCs w:val="24"/>
          <w:lang w:val="fr-BE"/>
        </w:rPr>
      </w:pPr>
      <w:r w:rsidRPr="002E1729">
        <w:rPr>
          <w:rFonts w:ascii="Times New Roman" w:eastAsia="Calibri" w:hAnsi="Times New Roman" w:cs="Times New Roman"/>
          <w:sz w:val="24"/>
          <w:szCs w:val="24"/>
          <w:lang w:val="fr-BE"/>
        </w:rPr>
        <w:t>Avis du 3 avril 2013 : Rapport du commissaire sur une société dont la faillite est inévitable suite à une cession d</w:t>
      </w:r>
      <w:r w:rsidR="001E138C">
        <w:rPr>
          <w:rFonts w:ascii="Times New Roman" w:eastAsia="Calibri" w:hAnsi="Times New Roman" w:cs="Times New Roman"/>
          <w:sz w:val="24"/>
          <w:szCs w:val="24"/>
          <w:lang w:val="fr-BE"/>
        </w:rPr>
        <w:t>’</w:t>
      </w:r>
      <w:r w:rsidRPr="002E1729">
        <w:rPr>
          <w:rFonts w:ascii="Times New Roman" w:eastAsia="Calibri" w:hAnsi="Times New Roman" w:cs="Times New Roman"/>
          <w:sz w:val="24"/>
          <w:szCs w:val="24"/>
          <w:lang w:val="fr-BE"/>
        </w:rPr>
        <w:t>actif dans le cadre d</w:t>
      </w:r>
      <w:r w:rsidR="001E138C">
        <w:rPr>
          <w:rFonts w:ascii="Times New Roman" w:eastAsia="Calibri" w:hAnsi="Times New Roman" w:cs="Times New Roman"/>
          <w:sz w:val="24"/>
          <w:szCs w:val="24"/>
          <w:lang w:val="fr-BE"/>
        </w:rPr>
        <w:t>’</w:t>
      </w:r>
      <w:r w:rsidRPr="002E1729">
        <w:rPr>
          <w:rFonts w:ascii="Times New Roman" w:eastAsia="Calibri" w:hAnsi="Times New Roman" w:cs="Times New Roman"/>
          <w:sz w:val="24"/>
          <w:szCs w:val="24"/>
          <w:lang w:val="fr-BE"/>
        </w:rPr>
        <w:t>une procédure de réorganisation judiciaire</w:t>
      </w:r>
    </w:p>
    <w:p w14:paraId="249CF014" w14:textId="77777777" w:rsidR="002E1729" w:rsidRDefault="002E1729" w:rsidP="002E1729">
      <w:pPr>
        <w:pStyle w:val="ListParagraph"/>
        <w:numPr>
          <w:ilvl w:val="0"/>
          <w:numId w:val="7"/>
        </w:numPr>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 xml:space="preserve">Avis du 10 août 2012 : </w:t>
      </w:r>
      <w:r w:rsidRPr="002E1729">
        <w:rPr>
          <w:rFonts w:ascii="Times New Roman" w:eastAsia="Calibri" w:hAnsi="Times New Roman" w:cs="Times New Roman"/>
          <w:sz w:val="24"/>
          <w:szCs w:val="24"/>
          <w:lang w:val="fr-BE"/>
        </w:rPr>
        <w:t>Rectification des comptes annuels 2011 – rapport du commissaire</w:t>
      </w:r>
    </w:p>
    <w:p w14:paraId="249CF015" w14:textId="77777777" w:rsidR="002E1729" w:rsidRDefault="002E1729" w:rsidP="002E1729">
      <w:pPr>
        <w:pStyle w:val="ListParagraph"/>
        <w:numPr>
          <w:ilvl w:val="0"/>
          <w:numId w:val="7"/>
        </w:numPr>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lastRenderedPageBreak/>
        <w:t xml:space="preserve">Avis du 21 décembre 2011 : </w:t>
      </w:r>
      <w:r w:rsidRPr="002E1729">
        <w:rPr>
          <w:rFonts w:ascii="Times New Roman" w:eastAsia="Calibri" w:hAnsi="Times New Roman" w:cs="Times New Roman"/>
          <w:sz w:val="24"/>
          <w:szCs w:val="24"/>
          <w:lang w:val="fr-BE"/>
        </w:rPr>
        <w:t>Rapport du commissaire sur les comptes annuels d</w:t>
      </w:r>
      <w:r w:rsidR="001E138C">
        <w:rPr>
          <w:rFonts w:ascii="Times New Roman" w:eastAsia="Calibri" w:hAnsi="Times New Roman" w:cs="Times New Roman"/>
          <w:sz w:val="24"/>
          <w:szCs w:val="24"/>
          <w:lang w:val="fr-BE"/>
        </w:rPr>
        <w:t>’</w:t>
      </w:r>
      <w:r w:rsidRPr="002E1729">
        <w:rPr>
          <w:rFonts w:ascii="Times New Roman" w:eastAsia="Calibri" w:hAnsi="Times New Roman" w:cs="Times New Roman"/>
          <w:sz w:val="24"/>
          <w:szCs w:val="24"/>
          <w:lang w:val="fr-BE"/>
        </w:rPr>
        <w:t>une société en discontinuité</w:t>
      </w:r>
    </w:p>
    <w:p w14:paraId="249CF016" w14:textId="77777777" w:rsidR="00B146DB" w:rsidRDefault="00B146DB" w:rsidP="00B146DB">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Advies van 31 maart 2011: </w:t>
      </w:r>
      <w:r w:rsidRPr="00DD3A7D">
        <w:rPr>
          <w:rFonts w:ascii="Times New Roman" w:eastAsia="Times New Roman" w:hAnsi="Times New Roman" w:cs="Times New Roman"/>
          <w:sz w:val="24"/>
          <w:szCs w:val="24"/>
        </w:rPr>
        <w:t>Commissarisverslag en systematische laattijdige neerlegging van de jaarrekening</w:t>
      </w:r>
    </w:p>
    <w:p w14:paraId="249CF017" w14:textId="77777777" w:rsidR="00B146DB" w:rsidRDefault="00B146DB" w:rsidP="00B146DB">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Advies van 23 november 2010: </w:t>
      </w:r>
      <w:r w:rsidRPr="00DD3A7D">
        <w:rPr>
          <w:rFonts w:ascii="Times New Roman" w:eastAsia="Times New Roman" w:hAnsi="Times New Roman" w:cs="Times New Roman"/>
          <w:sz w:val="24"/>
          <w:szCs w:val="24"/>
        </w:rPr>
        <w:t>Gevolgen op het commissarisverslag van het niet-naleven van de procedure bij een belangenconflict</w:t>
      </w:r>
    </w:p>
    <w:p w14:paraId="249CF018" w14:textId="77777777" w:rsidR="00B146DB" w:rsidRDefault="00B146DB" w:rsidP="00B146DB">
      <w:pPr>
        <w:pStyle w:val="ListParagraph"/>
        <w:numPr>
          <w:ilvl w:val="0"/>
          <w:numId w:val="7"/>
        </w:numPr>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 xml:space="preserve">Avis du 16 août 2010 : </w:t>
      </w:r>
      <w:r w:rsidRPr="00B146DB">
        <w:rPr>
          <w:rFonts w:ascii="Times New Roman" w:eastAsia="Calibri" w:hAnsi="Times New Roman" w:cs="Times New Roman"/>
          <w:sz w:val="24"/>
          <w:szCs w:val="24"/>
          <w:lang w:val="fr-BE"/>
        </w:rPr>
        <w:t xml:space="preserve">Dépôt à la Banque </w:t>
      </w:r>
      <w:r w:rsidR="00F474C6">
        <w:rPr>
          <w:rFonts w:ascii="Times New Roman" w:eastAsia="Calibri" w:hAnsi="Times New Roman" w:cs="Times New Roman"/>
          <w:sz w:val="24"/>
          <w:szCs w:val="24"/>
          <w:lang w:val="fr-BE"/>
        </w:rPr>
        <w:t>n</w:t>
      </w:r>
      <w:r w:rsidRPr="00B146DB">
        <w:rPr>
          <w:rFonts w:ascii="Times New Roman" w:eastAsia="Calibri" w:hAnsi="Times New Roman" w:cs="Times New Roman"/>
          <w:sz w:val="24"/>
          <w:szCs w:val="24"/>
          <w:lang w:val="fr-BE"/>
        </w:rPr>
        <w:t>ationale de Belgique du scan du rapport de commissaire signé</w:t>
      </w:r>
    </w:p>
    <w:p w14:paraId="249CF019" w14:textId="77777777" w:rsidR="00B146DB" w:rsidRDefault="00B146DB" w:rsidP="00B146DB">
      <w:pPr>
        <w:pStyle w:val="ListParagraph"/>
        <w:numPr>
          <w:ilvl w:val="0"/>
          <w:numId w:val="7"/>
        </w:numPr>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 xml:space="preserve">Avis du 5 août 2010 : </w:t>
      </w:r>
      <w:r w:rsidRPr="00B146DB">
        <w:rPr>
          <w:rFonts w:ascii="Times New Roman" w:eastAsia="Calibri" w:hAnsi="Times New Roman" w:cs="Times New Roman"/>
          <w:sz w:val="24"/>
          <w:szCs w:val="24"/>
          <w:lang w:val="fr-BE"/>
        </w:rPr>
        <w:t xml:space="preserve">Dépôt à la Banque </w:t>
      </w:r>
      <w:r w:rsidR="00F474C6">
        <w:rPr>
          <w:rFonts w:ascii="Times New Roman" w:eastAsia="Calibri" w:hAnsi="Times New Roman" w:cs="Times New Roman"/>
          <w:sz w:val="24"/>
          <w:szCs w:val="24"/>
          <w:lang w:val="fr-BE"/>
        </w:rPr>
        <w:t>n</w:t>
      </w:r>
      <w:r w:rsidRPr="00B146DB">
        <w:rPr>
          <w:rFonts w:ascii="Times New Roman" w:eastAsia="Calibri" w:hAnsi="Times New Roman" w:cs="Times New Roman"/>
          <w:sz w:val="24"/>
          <w:szCs w:val="24"/>
          <w:lang w:val="fr-BE"/>
        </w:rPr>
        <w:t>ationale de Belgique du scan du rapport de commissaire signé</w:t>
      </w:r>
    </w:p>
    <w:p w14:paraId="249CF01A" w14:textId="77777777" w:rsidR="002E1729" w:rsidRDefault="00B146DB" w:rsidP="00B146DB">
      <w:pPr>
        <w:pStyle w:val="ListParagraph"/>
        <w:numPr>
          <w:ilvl w:val="0"/>
          <w:numId w:val="7"/>
        </w:numPr>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 xml:space="preserve">Avis du 30 juin 2010 : </w:t>
      </w:r>
      <w:r w:rsidRPr="00B146DB">
        <w:rPr>
          <w:rFonts w:ascii="Times New Roman" w:eastAsia="Calibri" w:hAnsi="Times New Roman" w:cs="Times New Roman"/>
          <w:sz w:val="24"/>
          <w:szCs w:val="24"/>
          <w:lang w:val="fr-BE"/>
        </w:rPr>
        <w:t>Rapport de carence et fin du mandat</w:t>
      </w:r>
    </w:p>
    <w:p w14:paraId="249CF01B" w14:textId="77777777" w:rsidR="00292CB1" w:rsidRDefault="00292CB1" w:rsidP="00292CB1">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Advies van 19 mei 2010: </w:t>
      </w:r>
      <w:r w:rsidRPr="00DD3A7D">
        <w:rPr>
          <w:rFonts w:ascii="Times New Roman" w:eastAsia="Times New Roman" w:hAnsi="Times New Roman" w:cs="Times New Roman"/>
          <w:sz w:val="24"/>
          <w:szCs w:val="24"/>
        </w:rPr>
        <w:t>Weigering vanwege cliënt van publicatie commissarisverslag</w:t>
      </w:r>
    </w:p>
    <w:p w14:paraId="249CF01C" w14:textId="77777777" w:rsidR="00292CB1" w:rsidRDefault="00292CB1" w:rsidP="00292CB1">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DD3A7D">
        <w:rPr>
          <w:rFonts w:ascii="Times New Roman" w:eastAsia="Times New Roman" w:hAnsi="Times New Roman" w:cs="Times New Roman"/>
          <w:sz w:val="24"/>
          <w:szCs w:val="24"/>
        </w:rPr>
        <w:t>Advies van 30 april 2010: Toepassing van artikel 143 van het Wetboek van vennootschappen</w:t>
      </w:r>
    </w:p>
    <w:p w14:paraId="249CF01D" w14:textId="77777777" w:rsidR="00292CB1" w:rsidRDefault="00292CB1" w:rsidP="00292CB1">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Advies van 7 juli 2009: </w:t>
      </w:r>
      <w:r w:rsidRPr="00DD3A7D">
        <w:rPr>
          <w:rFonts w:ascii="Times New Roman" w:eastAsia="Times New Roman" w:hAnsi="Times New Roman" w:cs="Times New Roman"/>
          <w:sz w:val="24"/>
          <w:szCs w:val="24"/>
        </w:rPr>
        <w:t>Uitstel van algemene vergadering</w:t>
      </w:r>
    </w:p>
    <w:p w14:paraId="249CF01E" w14:textId="77777777" w:rsidR="00292CB1" w:rsidRPr="00935A85" w:rsidRDefault="00292CB1" w:rsidP="00292CB1">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935A85">
        <w:rPr>
          <w:rFonts w:ascii="Times New Roman" w:eastAsia="Times New Roman" w:hAnsi="Times New Roman" w:cs="Times New Roman"/>
          <w:sz w:val="24"/>
          <w:szCs w:val="24"/>
        </w:rPr>
        <w:t>Advies van 25 mei 2009: Verbetering van een jaarrekening na neerlegging</w:t>
      </w:r>
    </w:p>
    <w:p w14:paraId="249CF01F" w14:textId="77777777" w:rsidR="00B146DB" w:rsidRPr="00935A85" w:rsidRDefault="00B146DB" w:rsidP="00B146DB">
      <w:pPr>
        <w:pStyle w:val="ListParagraph"/>
        <w:numPr>
          <w:ilvl w:val="0"/>
          <w:numId w:val="7"/>
        </w:numPr>
        <w:jc w:val="both"/>
        <w:rPr>
          <w:rFonts w:ascii="Times New Roman" w:eastAsia="Calibri" w:hAnsi="Times New Roman" w:cs="Times New Roman"/>
          <w:sz w:val="24"/>
          <w:szCs w:val="24"/>
          <w:lang w:val="fr-BE"/>
        </w:rPr>
      </w:pPr>
      <w:r w:rsidRPr="00935A85">
        <w:rPr>
          <w:rFonts w:ascii="Times New Roman" w:eastAsia="Calibri" w:hAnsi="Times New Roman" w:cs="Times New Roman"/>
          <w:sz w:val="24"/>
          <w:szCs w:val="24"/>
          <w:lang w:val="fr-BE"/>
        </w:rPr>
        <w:t>Avis du 5 juin 2008 : Remise tardive du rapport de gestion par l</w:t>
      </w:r>
      <w:r w:rsidR="001E138C">
        <w:rPr>
          <w:rFonts w:ascii="Times New Roman" w:eastAsia="Calibri" w:hAnsi="Times New Roman" w:cs="Times New Roman"/>
          <w:sz w:val="24"/>
          <w:szCs w:val="24"/>
          <w:lang w:val="fr-BE"/>
        </w:rPr>
        <w:t>’</w:t>
      </w:r>
      <w:r w:rsidRPr="00935A85">
        <w:rPr>
          <w:rFonts w:ascii="Times New Roman" w:eastAsia="Calibri" w:hAnsi="Times New Roman" w:cs="Times New Roman"/>
          <w:sz w:val="24"/>
          <w:szCs w:val="24"/>
          <w:lang w:val="fr-BE"/>
        </w:rPr>
        <w:t>organe de gestion</w:t>
      </w:r>
    </w:p>
    <w:p w14:paraId="249CF020" w14:textId="77777777" w:rsidR="00292CB1" w:rsidRPr="00935A85" w:rsidRDefault="00292CB1" w:rsidP="00292CB1">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935A85">
        <w:rPr>
          <w:rFonts w:ascii="Times New Roman" w:eastAsia="Times New Roman" w:hAnsi="Times New Roman" w:cs="Times New Roman"/>
          <w:sz w:val="24"/>
          <w:szCs w:val="24"/>
        </w:rPr>
        <w:t>Advies van 21 mei 2008: Commissarisverslag in het kader van de vereffening van een naamloze vennootschap</w:t>
      </w:r>
    </w:p>
    <w:p w14:paraId="249CF021" w14:textId="77777777" w:rsidR="00292CB1" w:rsidRPr="00935A85" w:rsidRDefault="00292CB1" w:rsidP="00292CB1">
      <w:pPr>
        <w:pStyle w:val="ListParagraph"/>
        <w:numPr>
          <w:ilvl w:val="0"/>
          <w:numId w:val="7"/>
        </w:numPr>
        <w:jc w:val="both"/>
        <w:rPr>
          <w:rFonts w:ascii="Times New Roman" w:eastAsia="Calibri" w:hAnsi="Times New Roman" w:cs="Times New Roman"/>
          <w:sz w:val="24"/>
          <w:szCs w:val="24"/>
        </w:rPr>
      </w:pPr>
      <w:r w:rsidRPr="00935A85">
        <w:rPr>
          <w:rFonts w:ascii="Times New Roman" w:eastAsia="Times New Roman" w:hAnsi="Times New Roman" w:cs="Times New Roman"/>
          <w:sz w:val="24"/>
          <w:szCs w:val="24"/>
        </w:rPr>
        <w:t>Advies van 29 april 2008: Toepassing van artikel 96 van het Wetboek van vennootschappen in een vennootschap in vereffening</w:t>
      </w:r>
    </w:p>
    <w:p w14:paraId="249CF022" w14:textId="77777777" w:rsidR="00B146DB" w:rsidRPr="00935A85" w:rsidRDefault="00B146DB" w:rsidP="00B146DB">
      <w:pPr>
        <w:pStyle w:val="ListParagraph"/>
        <w:numPr>
          <w:ilvl w:val="0"/>
          <w:numId w:val="7"/>
        </w:numPr>
        <w:jc w:val="both"/>
        <w:rPr>
          <w:rFonts w:ascii="Times New Roman" w:eastAsia="Calibri" w:hAnsi="Times New Roman" w:cs="Times New Roman"/>
          <w:sz w:val="24"/>
          <w:szCs w:val="24"/>
          <w:lang w:val="fr-BE"/>
        </w:rPr>
      </w:pPr>
      <w:r w:rsidRPr="00935A85">
        <w:rPr>
          <w:rFonts w:ascii="Times New Roman" w:eastAsia="Calibri" w:hAnsi="Times New Roman" w:cs="Times New Roman"/>
          <w:sz w:val="24"/>
          <w:szCs w:val="24"/>
          <w:lang w:val="fr-BE"/>
        </w:rPr>
        <w:t>Avis du 19 septembre 2007 : Le rapport du commissaire et le rapport de gestion</w:t>
      </w:r>
    </w:p>
    <w:p w14:paraId="249CF023" w14:textId="77777777" w:rsidR="00B146DB" w:rsidRDefault="00B146DB" w:rsidP="00292CB1">
      <w:pPr>
        <w:pStyle w:val="ListParagraph"/>
        <w:numPr>
          <w:ilvl w:val="0"/>
          <w:numId w:val="7"/>
        </w:numPr>
        <w:spacing w:after="360"/>
        <w:ind w:left="1145" w:hanging="357"/>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 xml:space="preserve">Avis du 31 juillet 2007 : </w:t>
      </w:r>
      <w:r w:rsidRPr="00B146DB">
        <w:rPr>
          <w:rFonts w:ascii="Times New Roman" w:eastAsia="Calibri" w:hAnsi="Times New Roman" w:cs="Times New Roman"/>
          <w:sz w:val="24"/>
          <w:szCs w:val="24"/>
          <w:lang w:val="fr-BE"/>
        </w:rPr>
        <w:t>Absence de comptes annuels dans une fondation d</w:t>
      </w:r>
      <w:r w:rsidR="001E138C">
        <w:rPr>
          <w:rFonts w:ascii="Times New Roman" w:eastAsia="Calibri" w:hAnsi="Times New Roman" w:cs="Times New Roman"/>
          <w:sz w:val="24"/>
          <w:szCs w:val="24"/>
          <w:lang w:val="fr-BE"/>
        </w:rPr>
        <w:t>’</w:t>
      </w:r>
      <w:r w:rsidRPr="00B146DB">
        <w:rPr>
          <w:rFonts w:ascii="Times New Roman" w:eastAsia="Calibri" w:hAnsi="Times New Roman" w:cs="Times New Roman"/>
          <w:sz w:val="24"/>
          <w:szCs w:val="24"/>
          <w:lang w:val="fr-BE"/>
        </w:rPr>
        <w:t>utilité publique</w:t>
      </w:r>
    </w:p>
    <w:p w14:paraId="249CF024" w14:textId="77777777" w:rsidR="00292CB1" w:rsidRDefault="00292CB1" w:rsidP="00292CB1">
      <w:pPr>
        <w:pStyle w:val="ListParagraph"/>
        <w:spacing w:after="360"/>
        <w:ind w:left="1145"/>
        <w:jc w:val="both"/>
        <w:rPr>
          <w:rFonts w:ascii="Times New Roman" w:eastAsia="Calibri" w:hAnsi="Times New Roman" w:cs="Times New Roman"/>
          <w:sz w:val="24"/>
          <w:szCs w:val="24"/>
          <w:lang w:val="fr-BE"/>
        </w:rPr>
      </w:pPr>
    </w:p>
    <w:p w14:paraId="249CF025" w14:textId="77777777" w:rsidR="008161A0" w:rsidRPr="008161A0" w:rsidRDefault="008161A0" w:rsidP="008161A0">
      <w:pPr>
        <w:pStyle w:val="ListParagraph"/>
        <w:numPr>
          <w:ilvl w:val="0"/>
          <w:numId w:val="2"/>
        </w:numPr>
        <w:jc w:val="both"/>
        <w:rPr>
          <w:rFonts w:ascii="Times New Roman" w:eastAsia="Calibri" w:hAnsi="Times New Roman" w:cs="Times New Roman"/>
          <w:b/>
          <w:sz w:val="24"/>
          <w:szCs w:val="24"/>
          <w:lang w:val="fr-BE"/>
        </w:rPr>
      </w:pPr>
      <w:r w:rsidRPr="008161A0">
        <w:rPr>
          <w:rFonts w:ascii="Times New Roman" w:eastAsia="Times New Roman" w:hAnsi="Times New Roman" w:cs="Times New Roman"/>
          <w:b/>
          <w:sz w:val="24"/>
          <w:szCs w:val="24"/>
          <w:lang w:val="fr-BE"/>
        </w:rPr>
        <w:t>Frequently Asked Questions (FAQs) relatives au rapport du commissaire publiées sur le site de l’ICCI</w:t>
      </w:r>
    </w:p>
    <w:p w14:paraId="249CF026" w14:textId="77777777" w:rsidR="008161A0" w:rsidRPr="008161A0" w:rsidRDefault="008161A0" w:rsidP="008161A0">
      <w:pPr>
        <w:pStyle w:val="ListParagraph"/>
        <w:jc w:val="both"/>
        <w:rPr>
          <w:rFonts w:ascii="Times New Roman" w:eastAsia="Calibri" w:hAnsi="Times New Roman" w:cs="Times New Roman"/>
          <w:b/>
          <w:sz w:val="24"/>
          <w:szCs w:val="24"/>
          <w:lang w:val="fr-BE"/>
        </w:rPr>
      </w:pPr>
    </w:p>
    <w:p w14:paraId="249CF027" w14:textId="77777777" w:rsidR="008161A0" w:rsidRDefault="008161A0" w:rsidP="008161A0">
      <w:pPr>
        <w:pStyle w:val="ListParagraph"/>
        <w:numPr>
          <w:ilvl w:val="0"/>
          <w:numId w:val="7"/>
        </w:numPr>
        <w:jc w:val="both"/>
        <w:rPr>
          <w:rFonts w:ascii="Times New Roman" w:eastAsia="Calibri" w:hAnsi="Times New Roman" w:cs="Times New Roman"/>
          <w:sz w:val="24"/>
          <w:szCs w:val="24"/>
          <w:lang w:val="fr-BE"/>
        </w:rPr>
      </w:pPr>
      <w:r w:rsidRPr="008161A0">
        <w:rPr>
          <w:rFonts w:ascii="Times New Roman" w:eastAsia="Calibri" w:hAnsi="Times New Roman" w:cs="Times New Roman"/>
          <w:sz w:val="24"/>
          <w:szCs w:val="24"/>
          <w:lang w:val="fr-BE"/>
        </w:rPr>
        <w:t>I.C. Le rapport de gestion fait-il partie des comptes annuels ?</w:t>
      </w:r>
      <w:r>
        <w:rPr>
          <w:rFonts w:ascii="Times New Roman" w:eastAsia="Calibri" w:hAnsi="Times New Roman" w:cs="Times New Roman"/>
          <w:sz w:val="24"/>
          <w:szCs w:val="24"/>
          <w:lang w:val="fr-BE"/>
        </w:rPr>
        <w:t xml:space="preserve"> (19/06/2015)</w:t>
      </w:r>
    </w:p>
    <w:p w14:paraId="249CF028" w14:textId="77777777" w:rsidR="008161A0" w:rsidRDefault="008161A0" w:rsidP="008161A0">
      <w:pPr>
        <w:pStyle w:val="ListParagraph"/>
        <w:numPr>
          <w:ilvl w:val="0"/>
          <w:numId w:val="7"/>
        </w:numPr>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 xml:space="preserve">I.C. </w:t>
      </w:r>
      <w:r w:rsidRPr="008161A0">
        <w:rPr>
          <w:rFonts w:ascii="Times New Roman" w:eastAsia="Calibri" w:hAnsi="Times New Roman" w:cs="Times New Roman"/>
          <w:sz w:val="24"/>
          <w:szCs w:val="24"/>
          <w:lang w:val="fr-BE"/>
        </w:rPr>
        <w:t>Faut-il se référer uniquement aux normes nationales même si la mission est exécutée conformément aux normes ISA ou peut-on également se référer aux normes ISA?</w:t>
      </w:r>
      <w:r>
        <w:rPr>
          <w:rFonts w:ascii="Times New Roman" w:eastAsia="Calibri" w:hAnsi="Times New Roman" w:cs="Times New Roman"/>
          <w:sz w:val="24"/>
          <w:szCs w:val="24"/>
          <w:lang w:val="fr-BE"/>
        </w:rPr>
        <w:t xml:space="preserve"> (19/06/2015)</w:t>
      </w:r>
    </w:p>
    <w:p w14:paraId="249CF029" w14:textId="77777777" w:rsidR="008161A0" w:rsidRDefault="008161A0" w:rsidP="008161A0">
      <w:pPr>
        <w:pStyle w:val="ListParagraph"/>
        <w:numPr>
          <w:ilvl w:val="0"/>
          <w:numId w:val="7"/>
        </w:numPr>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 xml:space="preserve">I.C. </w:t>
      </w:r>
      <w:r w:rsidRPr="008161A0">
        <w:rPr>
          <w:rFonts w:ascii="Times New Roman" w:eastAsia="Calibri" w:hAnsi="Times New Roman" w:cs="Times New Roman"/>
          <w:sz w:val="24"/>
          <w:szCs w:val="24"/>
          <w:lang w:val="fr-BE"/>
        </w:rPr>
        <w:t>En matière de continuité de l'exploitation des entreprises, la norme ISA 570 modifie-t-elle l'approche du commissaire suivie antérieurement ?</w:t>
      </w:r>
      <w:r>
        <w:rPr>
          <w:rFonts w:ascii="Times New Roman" w:eastAsia="Calibri" w:hAnsi="Times New Roman" w:cs="Times New Roman"/>
          <w:sz w:val="24"/>
          <w:szCs w:val="24"/>
          <w:lang w:val="fr-BE"/>
        </w:rPr>
        <w:t xml:space="preserve"> (19/06/2015)</w:t>
      </w:r>
    </w:p>
    <w:p w14:paraId="249CF02A" w14:textId="77777777" w:rsidR="008161A0" w:rsidRDefault="008161A0" w:rsidP="008161A0">
      <w:pPr>
        <w:pStyle w:val="ListParagraph"/>
        <w:numPr>
          <w:ilvl w:val="0"/>
          <w:numId w:val="7"/>
        </w:numPr>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 xml:space="preserve">I.C. </w:t>
      </w:r>
      <w:r w:rsidRPr="008161A0">
        <w:rPr>
          <w:rFonts w:ascii="Times New Roman" w:eastAsia="Calibri" w:hAnsi="Times New Roman" w:cs="Times New Roman"/>
          <w:sz w:val="24"/>
          <w:szCs w:val="24"/>
          <w:lang w:val="fr-BE"/>
        </w:rPr>
        <w:t>Les normes ISA ont-elles modifié l'approche du commissaire en matière de chiffres correspondants ?</w:t>
      </w:r>
      <w:r>
        <w:rPr>
          <w:rFonts w:ascii="Times New Roman" w:eastAsia="Calibri" w:hAnsi="Times New Roman" w:cs="Times New Roman"/>
          <w:sz w:val="24"/>
          <w:szCs w:val="24"/>
          <w:lang w:val="fr-BE"/>
        </w:rPr>
        <w:t xml:space="preserve"> (19/06/2015)</w:t>
      </w:r>
    </w:p>
    <w:p w14:paraId="249CF02B" w14:textId="77777777" w:rsidR="008161A0" w:rsidRDefault="008161A0" w:rsidP="008161A0">
      <w:pPr>
        <w:pStyle w:val="ListParagraph"/>
        <w:numPr>
          <w:ilvl w:val="0"/>
          <w:numId w:val="7"/>
        </w:numPr>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 xml:space="preserve">VI.B. </w:t>
      </w:r>
      <w:r w:rsidRPr="008161A0">
        <w:rPr>
          <w:rFonts w:ascii="Times New Roman" w:eastAsia="Calibri" w:hAnsi="Times New Roman" w:cs="Times New Roman"/>
          <w:sz w:val="24"/>
          <w:szCs w:val="24"/>
          <w:lang w:val="fr-BE"/>
        </w:rPr>
        <w:t>Qu’est-ce qu’une opinion sans réserve ?</w:t>
      </w:r>
      <w:r>
        <w:rPr>
          <w:rFonts w:ascii="Times New Roman" w:eastAsia="Calibri" w:hAnsi="Times New Roman" w:cs="Times New Roman"/>
          <w:sz w:val="24"/>
          <w:szCs w:val="24"/>
          <w:lang w:val="fr-BE"/>
        </w:rPr>
        <w:t xml:space="preserve"> (15/05/2015)</w:t>
      </w:r>
    </w:p>
    <w:p w14:paraId="249CF02C" w14:textId="77777777" w:rsidR="008161A0" w:rsidRDefault="008161A0" w:rsidP="008161A0">
      <w:pPr>
        <w:pStyle w:val="ListParagraph"/>
        <w:numPr>
          <w:ilvl w:val="0"/>
          <w:numId w:val="7"/>
        </w:numPr>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 xml:space="preserve">VI.B. </w:t>
      </w:r>
      <w:r w:rsidRPr="008161A0">
        <w:rPr>
          <w:rFonts w:ascii="Times New Roman" w:eastAsia="Calibri" w:hAnsi="Times New Roman" w:cs="Times New Roman"/>
          <w:sz w:val="24"/>
          <w:szCs w:val="24"/>
          <w:lang w:val="fr-BE"/>
        </w:rPr>
        <w:t>Qu’est-ce qu’une opinion avec réserve ?</w:t>
      </w:r>
      <w:r>
        <w:rPr>
          <w:rFonts w:ascii="Times New Roman" w:eastAsia="Calibri" w:hAnsi="Times New Roman" w:cs="Times New Roman"/>
          <w:sz w:val="24"/>
          <w:szCs w:val="24"/>
          <w:lang w:val="fr-BE"/>
        </w:rPr>
        <w:t xml:space="preserve"> (15/05/2015)</w:t>
      </w:r>
    </w:p>
    <w:p w14:paraId="249CF02D" w14:textId="77777777" w:rsidR="008161A0" w:rsidRDefault="008161A0" w:rsidP="008161A0">
      <w:pPr>
        <w:pStyle w:val="ListParagraph"/>
        <w:numPr>
          <w:ilvl w:val="0"/>
          <w:numId w:val="7"/>
        </w:numPr>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 xml:space="preserve">VI.B. </w:t>
      </w:r>
      <w:r w:rsidRPr="008161A0">
        <w:rPr>
          <w:rFonts w:ascii="Times New Roman" w:eastAsia="Calibri" w:hAnsi="Times New Roman" w:cs="Times New Roman"/>
          <w:sz w:val="24"/>
          <w:szCs w:val="24"/>
          <w:lang w:val="fr-BE"/>
        </w:rPr>
        <w:t>Qu’entend-on par opinion d’abstention ?</w:t>
      </w:r>
      <w:r>
        <w:rPr>
          <w:rFonts w:ascii="Times New Roman" w:eastAsia="Calibri" w:hAnsi="Times New Roman" w:cs="Times New Roman"/>
          <w:sz w:val="24"/>
          <w:szCs w:val="24"/>
          <w:lang w:val="fr-BE"/>
        </w:rPr>
        <w:t xml:space="preserve"> (15/05/2015)</w:t>
      </w:r>
    </w:p>
    <w:p w14:paraId="249CF02E" w14:textId="77777777" w:rsidR="008161A0" w:rsidRDefault="008161A0" w:rsidP="008161A0">
      <w:pPr>
        <w:pStyle w:val="ListParagraph"/>
        <w:numPr>
          <w:ilvl w:val="0"/>
          <w:numId w:val="7"/>
        </w:numPr>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 xml:space="preserve">VI.B. </w:t>
      </w:r>
      <w:r w:rsidRPr="008161A0">
        <w:rPr>
          <w:rFonts w:ascii="Times New Roman" w:eastAsia="Calibri" w:hAnsi="Times New Roman" w:cs="Times New Roman"/>
          <w:sz w:val="24"/>
          <w:szCs w:val="24"/>
          <w:lang w:val="fr-BE"/>
        </w:rPr>
        <w:t>Qu’est-ce qu’une opinion négative (défavorable) ?</w:t>
      </w:r>
      <w:r>
        <w:rPr>
          <w:rFonts w:ascii="Times New Roman" w:eastAsia="Calibri" w:hAnsi="Times New Roman" w:cs="Times New Roman"/>
          <w:sz w:val="24"/>
          <w:szCs w:val="24"/>
          <w:lang w:val="fr-BE"/>
        </w:rPr>
        <w:t xml:space="preserve"> (15/05/2015)</w:t>
      </w:r>
    </w:p>
    <w:p w14:paraId="249CF02F" w14:textId="77777777" w:rsidR="008161A0" w:rsidRDefault="008161A0" w:rsidP="008161A0">
      <w:pPr>
        <w:pStyle w:val="ListParagraph"/>
        <w:numPr>
          <w:ilvl w:val="0"/>
          <w:numId w:val="7"/>
        </w:numPr>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 xml:space="preserve">VI.B. </w:t>
      </w:r>
      <w:r w:rsidRPr="008161A0">
        <w:rPr>
          <w:rFonts w:ascii="Times New Roman" w:eastAsia="Calibri" w:hAnsi="Times New Roman" w:cs="Times New Roman"/>
          <w:sz w:val="24"/>
          <w:szCs w:val="24"/>
          <w:lang w:val="fr-BE"/>
        </w:rPr>
        <w:t>Quel est l’impact sur le rapport du commissaire d’un dépôt systématiquement tardif auprès de la Banque nationale ?</w:t>
      </w:r>
      <w:r>
        <w:rPr>
          <w:rFonts w:ascii="Times New Roman" w:eastAsia="Calibri" w:hAnsi="Times New Roman" w:cs="Times New Roman"/>
          <w:sz w:val="24"/>
          <w:szCs w:val="24"/>
          <w:lang w:val="fr-BE"/>
        </w:rPr>
        <w:t xml:space="preserve"> (15/05/2015)</w:t>
      </w:r>
    </w:p>
    <w:p w14:paraId="249CF030" w14:textId="77777777" w:rsidR="008161A0" w:rsidRDefault="008161A0" w:rsidP="008161A0">
      <w:pPr>
        <w:pStyle w:val="ListParagraph"/>
        <w:numPr>
          <w:ilvl w:val="0"/>
          <w:numId w:val="7"/>
        </w:numPr>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 xml:space="preserve">VI.B. </w:t>
      </w:r>
      <w:r w:rsidRPr="008161A0">
        <w:rPr>
          <w:rFonts w:ascii="Times New Roman" w:eastAsia="Calibri" w:hAnsi="Times New Roman" w:cs="Times New Roman"/>
          <w:sz w:val="24"/>
          <w:szCs w:val="24"/>
          <w:lang w:val="fr-BE"/>
        </w:rPr>
        <w:t>Quelles actions un commissaire peut-il entreprendre lorsqu’un client refuse le dépôt et la publication du rapport du commissaire ?</w:t>
      </w:r>
      <w:r>
        <w:rPr>
          <w:rFonts w:ascii="Times New Roman" w:eastAsia="Calibri" w:hAnsi="Times New Roman" w:cs="Times New Roman"/>
          <w:sz w:val="24"/>
          <w:szCs w:val="24"/>
          <w:lang w:val="fr-BE"/>
        </w:rPr>
        <w:t xml:space="preserve"> (15/05/2015)</w:t>
      </w:r>
    </w:p>
    <w:p w14:paraId="249CF031" w14:textId="77777777" w:rsidR="00AB34FC" w:rsidRDefault="00AB34FC" w:rsidP="008161A0">
      <w:pPr>
        <w:pStyle w:val="ListParagraph"/>
        <w:numPr>
          <w:ilvl w:val="0"/>
          <w:numId w:val="7"/>
        </w:numPr>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lastRenderedPageBreak/>
        <w:t>FAQ COVID-19 : Going Concern (26.03.2020)</w:t>
      </w:r>
    </w:p>
    <w:p w14:paraId="249CF032" w14:textId="77777777" w:rsidR="00ED6CB0" w:rsidRDefault="00AB34FC" w:rsidP="008161A0">
      <w:pPr>
        <w:pStyle w:val="ListParagraph"/>
        <w:numPr>
          <w:ilvl w:val="0"/>
          <w:numId w:val="7"/>
        </w:numPr>
        <w:jc w:val="both"/>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 xml:space="preserve">FAQ COVID-19 : </w:t>
      </w:r>
      <w:r w:rsidR="00ED6CB0">
        <w:rPr>
          <w:rFonts w:ascii="Times New Roman" w:eastAsia="Calibri" w:hAnsi="Times New Roman" w:cs="Times New Roman"/>
          <w:sz w:val="24"/>
          <w:szCs w:val="24"/>
          <w:lang w:val="fr-BE"/>
        </w:rPr>
        <w:t>Comment traiter les conséquences du COVID-19 dans le rapport du commissaire sur l’exercice clos le 31/12/2019 ? (</w:t>
      </w:r>
      <w:r>
        <w:rPr>
          <w:rFonts w:ascii="Times New Roman" w:eastAsia="Calibri" w:hAnsi="Times New Roman" w:cs="Times New Roman"/>
          <w:sz w:val="24"/>
          <w:szCs w:val="24"/>
          <w:lang w:val="fr-BE"/>
        </w:rPr>
        <w:t>10.04.2020)</w:t>
      </w:r>
    </w:p>
    <w:p w14:paraId="249CF033" w14:textId="77777777" w:rsidR="00AB34FC" w:rsidRPr="008161A0" w:rsidRDefault="00AB34FC" w:rsidP="00AB34FC">
      <w:pPr>
        <w:pStyle w:val="ListParagraph"/>
        <w:ind w:left="1146"/>
        <w:jc w:val="both"/>
        <w:rPr>
          <w:rFonts w:ascii="Times New Roman" w:eastAsia="Calibri" w:hAnsi="Times New Roman" w:cs="Times New Roman"/>
          <w:sz w:val="24"/>
          <w:szCs w:val="24"/>
          <w:lang w:val="fr-BE"/>
        </w:rPr>
      </w:pPr>
    </w:p>
    <w:p w14:paraId="249CF034" w14:textId="77777777" w:rsidR="008161A0" w:rsidRPr="008161A0" w:rsidRDefault="008161A0" w:rsidP="008161A0">
      <w:pPr>
        <w:ind w:left="360"/>
        <w:jc w:val="both"/>
        <w:rPr>
          <w:rFonts w:ascii="Times New Roman" w:eastAsia="Calibri" w:hAnsi="Times New Roman" w:cs="Times New Roman"/>
          <w:b/>
          <w:sz w:val="24"/>
          <w:szCs w:val="24"/>
          <w:lang w:val="fr-BE"/>
        </w:rPr>
      </w:pPr>
    </w:p>
    <w:p w14:paraId="249CF035" w14:textId="77777777" w:rsidR="00292CB1" w:rsidRPr="008161A0" w:rsidRDefault="00292CB1" w:rsidP="008161A0">
      <w:pPr>
        <w:pStyle w:val="ListParagraph"/>
        <w:jc w:val="center"/>
        <w:rPr>
          <w:rFonts w:ascii="Times New Roman" w:eastAsia="Calibri" w:hAnsi="Times New Roman" w:cs="Times New Roman"/>
          <w:b/>
          <w:sz w:val="24"/>
          <w:szCs w:val="24"/>
          <w:lang w:val="fr-BE"/>
        </w:rPr>
      </w:pPr>
      <w:r w:rsidRPr="008161A0">
        <w:rPr>
          <w:rFonts w:ascii="Times New Roman" w:eastAsia="Calibri" w:hAnsi="Times New Roman" w:cs="Times New Roman"/>
          <w:b/>
          <w:sz w:val="24"/>
          <w:szCs w:val="24"/>
          <w:lang w:val="fr-BE"/>
        </w:rPr>
        <w:t>*</w:t>
      </w:r>
      <w:r w:rsidRPr="008161A0">
        <w:rPr>
          <w:rFonts w:ascii="Times New Roman" w:eastAsia="Calibri" w:hAnsi="Times New Roman" w:cs="Times New Roman"/>
          <w:b/>
          <w:sz w:val="24"/>
          <w:szCs w:val="24"/>
          <w:lang w:val="fr-BE"/>
        </w:rPr>
        <w:tab/>
      </w:r>
      <w:r w:rsidRPr="008161A0">
        <w:rPr>
          <w:rFonts w:ascii="Times New Roman" w:eastAsia="Calibri" w:hAnsi="Times New Roman" w:cs="Times New Roman"/>
          <w:b/>
          <w:sz w:val="24"/>
          <w:szCs w:val="24"/>
          <w:lang w:val="fr-BE"/>
        </w:rPr>
        <w:tab/>
        <w:t>*</w:t>
      </w:r>
    </w:p>
    <w:p w14:paraId="249CF036" w14:textId="77777777" w:rsidR="002E1729" w:rsidRPr="00EB370D" w:rsidRDefault="00292CB1" w:rsidP="008161A0">
      <w:pPr>
        <w:pStyle w:val="ListParagraph"/>
        <w:autoSpaceDE w:val="0"/>
        <w:autoSpaceDN w:val="0"/>
        <w:adjustRightInd w:val="0"/>
        <w:spacing w:after="0" w:line="240" w:lineRule="auto"/>
        <w:ind w:left="4416" w:firstLine="540"/>
        <w:jc w:val="both"/>
        <w:rPr>
          <w:rFonts w:ascii="Times New Roman" w:hAnsi="Times New Roman" w:cs="Times New Roman"/>
          <w:b/>
          <w:sz w:val="24"/>
          <w:szCs w:val="24"/>
          <w:lang w:val="fr-BE"/>
        </w:rPr>
      </w:pPr>
      <w:r w:rsidRPr="008161A0">
        <w:rPr>
          <w:rFonts w:ascii="Times New Roman" w:eastAsia="Times New Roman" w:hAnsi="Times New Roman" w:cs="Times New Roman"/>
          <w:sz w:val="24"/>
          <w:szCs w:val="24"/>
          <w:lang w:val="fr-BE"/>
        </w:rPr>
        <w:t>*</w:t>
      </w:r>
    </w:p>
    <w:sectPr w:rsidR="002E1729" w:rsidRPr="00EB370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F9F01" w14:textId="77777777" w:rsidR="00BC7C02" w:rsidRDefault="00BC7C02" w:rsidP="002E78B8">
      <w:pPr>
        <w:spacing w:after="0" w:line="240" w:lineRule="auto"/>
      </w:pPr>
      <w:r>
        <w:separator/>
      </w:r>
    </w:p>
  </w:endnote>
  <w:endnote w:type="continuationSeparator" w:id="0">
    <w:p w14:paraId="2C025249" w14:textId="77777777" w:rsidR="00BC7C02" w:rsidRDefault="00BC7C02" w:rsidP="002E78B8">
      <w:pPr>
        <w:spacing w:after="0" w:line="240" w:lineRule="auto"/>
      </w:pPr>
      <w:r>
        <w:continuationSeparator/>
      </w:r>
    </w:p>
  </w:endnote>
  <w:endnote w:type="continuationNotice" w:id="1">
    <w:p w14:paraId="6D98B946" w14:textId="77777777" w:rsidR="00BC7C02" w:rsidRDefault="00BC7C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F03E" w14:textId="64C1A710" w:rsidR="002E78B8" w:rsidRPr="007756EA" w:rsidRDefault="002830FE">
    <w:pPr>
      <w:pStyle w:val="Footer"/>
      <w:rPr>
        <w:lang w:val="fr-BE"/>
      </w:rPr>
    </w:pPr>
    <w:r>
      <w:rPr>
        <w:lang w:val="fr-BE"/>
      </w:rPr>
      <w:t>ICCI 2023-1 Rapport du commissaire</w:t>
    </w:r>
    <w:r>
      <w:rPr>
        <w:lang w:val="fr-BE"/>
      </w:rPr>
      <w:tab/>
    </w:r>
    <w:r w:rsidR="007756EA">
      <w:rPr>
        <w:lang w:val="fr-BE"/>
      </w:rPr>
      <w:t>Annexe 8</w:t>
    </w:r>
    <w:r w:rsidR="007756EA">
      <w:rPr>
        <w:lang w:val="fr-BE"/>
      </w:rPr>
      <w:tab/>
    </w:r>
    <w:r w:rsidR="007756EA">
      <w:rPr>
        <w:lang w:val="fr-BE"/>
      </w:rPr>
      <w:fldChar w:fldCharType="begin"/>
    </w:r>
    <w:r w:rsidR="007756EA">
      <w:rPr>
        <w:lang w:val="fr-BE"/>
      </w:rPr>
      <w:instrText xml:space="preserve"> PAGE   \* MERGEFORMAT </w:instrText>
    </w:r>
    <w:r w:rsidR="007756EA">
      <w:rPr>
        <w:lang w:val="fr-BE"/>
      </w:rPr>
      <w:fldChar w:fldCharType="separate"/>
    </w:r>
    <w:r w:rsidR="007756EA">
      <w:rPr>
        <w:noProof/>
        <w:lang w:val="fr-BE"/>
      </w:rPr>
      <w:t>1</w:t>
    </w:r>
    <w:r w:rsidR="007756EA">
      <w:rPr>
        <w:lang w:val="fr-BE"/>
      </w:rPr>
      <w:fldChar w:fldCharType="end"/>
    </w:r>
    <w:r w:rsidR="007756EA">
      <w:rPr>
        <w:lang w:val="fr-BE"/>
      </w:rPr>
      <w:t>/</w:t>
    </w:r>
    <w:r w:rsidR="007756EA">
      <w:rPr>
        <w:lang w:val="fr-BE"/>
      </w:rPr>
      <w:fldChar w:fldCharType="begin"/>
    </w:r>
    <w:r w:rsidR="007756EA">
      <w:rPr>
        <w:lang w:val="fr-BE"/>
      </w:rPr>
      <w:instrText xml:space="preserve"> NUMPAGES   \* MERGEFORMAT </w:instrText>
    </w:r>
    <w:r w:rsidR="007756EA">
      <w:rPr>
        <w:lang w:val="fr-BE"/>
      </w:rPr>
      <w:fldChar w:fldCharType="separate"/>
    </w:r>
    <w:r w:rsidR="007756EA">
      <w:rPr>
        <w:noProof/>
        <w:lang w:val="fr-BE"/>
      </w:rPr>
      <w:t>7</w:t>
    </w:r>
    <w:r w:rsidR="007756EA">
      <w:rPr>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3DCC7" w14:textId="77777777" w:rsidR="00BC7C02" w:rsidRDefault="00BC7C02" w:rsidP="002E78B8">
      <w:pPr>
        <w:spacing w:after="0" w:line="240" w:lineRule="auto"/>
      </w:pPr>
      <w:r>
        <w:separator/>
      </w:r>
    </w:p>
  </w:footnote>
  <w:footnote w:type="continuationSeparator" w:id="0">
    <w:p w14:paraId="2203ABDB" w14:textId="77777777" w:rsidR="00BC7C02" w:rsidRDefault="00BC7C02" w:rsidP="002E78B8">
      <w:pPr>
        <w:spacing w:after="0" w:line="240" w:lineRule="auto"/>
      </w:pPr>
      <w:r>
        <w:continuationSeparator/>
      </w:r>
    </w:p>
  </w:footnote>
  <w:footnote w:type="continuationNotice" w:id="1">
    <w:p w14:paraId="3C5BB499" w14:textId="77777777" w:rsidR="00BC7C02" w:rsidRDefault="00BC7C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31C8"/>
    <w:multiLevelType w:val="hybridMultilevel"/>
    <w:tmpl w:val="9566D1BC"/>
    <w:lvl w:ilvl="0" w:tplc="98A8D226">
      <w:start w:val="1"/>
      <w:numFmt w:val="bullet"/>
      <w:lvlText w:val="­"/>
      <w:lvlJc w:val="left"/>
      <w:pPr>
        <w:ind w:left="1146" w:hanging="360"/>
      </w:pPr>
      <w:rPr>
        <w:rFonts w:ascii="Courier New" w:hAnsi="Courier New" w:hint="default"/>
      </w:rPr>
    </w:lvl>
    <w:lvl w:ilvl="1" w:tplc="08130003">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 w15:restartNumberingAfterBreak="0">
    <w:nsid w:val="12711D82"/>
    <w:multiLevelType w:val="hybridMultilevel"/>
    <w:tmpl w:val="6914C0BC"/>
    <w:lvl w:ilvl="0" w:tplc="426E0C9E">
      <w:start w:val="1"/>
      <w:numFmt w:val="bullet"/>
      <w:lvlText w:val=""/>
      <w:lvlJc w:val="left"/>
      <w:pPr>
        <w:tabs>
          <w:tab w:val="num" w:pos="-31680"/>
        </w:tabs>
        <w:ind w:left="567" w:hanging="567"/>
      </w:pPr>
      <w:rPr>
        <w:rFonts w:ascii="Symbol" w:hAnsi="Symbol" w:cs="Times New Roman"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DA031B"/>
    <w:multiLevelType w:val="hybridMultilevel"/>
    <w:tmpl w:val="B2D892E6"/>
    <w:lvl w:ilvl="0" w:tplc="BA40D630">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CA411BF"/>
    <w:multiLevelType w:val="hybridMultilevel"/>
    <w:tmpl w:val="0128C360"/>
    <w:lvl w:ilvl="0" w:tplc="BCDE2AA2">
      <w:start w:val="1"/>
      <w:numFmt w:val="upp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9D958EC"/>
    <w:multiLevelType w:val="hybridMultilevel"/>
    <w:tmpl w:val="3462002E"/>
    <w:lvl w:ilvl="0" w:tplc="9F4E1342">
      <w:start w:val="1"/>
      <w:numFmt w:val="bullet"/>
      <w:lvlText w:val="*"/>
      <w:lvlJc w:val="left"/>
      <w:pPr>
        <w:tabs>
          <w:tab w:val="num" w:pos="567"/>
        </w:tabs>
        <w:ind w:left="567" w:hanging="567"/>
      </w:pPr>
      <w:rPr>
        <w:rFonts w:ascii="Times New Roman" w:hAnsi="Times New Roman" w:cs="Times New Roman"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E00D8C"/>
    <w:multiLevelType w:val="hybridMultilevel"/>
    <w:tmpl w:val="2222E226"/>
    <w:lvl w:ilvl="0" w:tplc="98A8D226">
      <w:start w:val="1"/>
      <w:numFmt w:val="bullet"/>
      <w:lvlText w:val="­"/>
      <w:lvlJc w:val="left"/>
      <w:pPr>
        <w:ind w:left="720" w:hanging="360"/>
      </w:pPr>
      <w:rPr>
        <w:rFonts w:ascii="Courier New" w:hAnsi="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17B1BB2"/>
    <w:multiLevelType w:val="hybridMultilevel"/>
    <w:tmpl w:val="B5D641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5556E00"/>
    <w:multiLevelType w:val="hybridMultilevel"/>
    <w:tmpl w:val="FEFC9420"/>
    <w:lvl w:ilvl="0" w:tplc="98A8D226">
      <w:start w:val="1"/>
      <w:numFmt w:val="bullet"/>
      <w:lvlText w:val="­"/>
      <w:lvlJc w:val="left"/>
      <w:pPr>
        <w:ind w:left="720" w:hanging="360"/>
      </w:pPr>
      <w:rPr>
        <w:rFonts w:ascii="Courier New" w:hAnsi="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C114178"/>
    <w:multiLevelType w:val="hybridMultilevel"/>
    <w:tmpl w:val="C62E4D86"/>
    <w:lvl w:ilvl="0" w:tplc="98A8D22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2BA5447"/>
    <w:multiLevelType w:val="hybridMultilevel"/>
    <w:tmpl w:val="DAA465B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36410785">
    <w:abstractNumId w:val="5"/>
  </w:num>
  <w:num w:numId="2" w16cid:durableId="1683628323">
    <w:abstractNumId w:val="3"/>
  </w:num>
  <w:num w:numId="3" w16cid:durableId="2026132292">
    <w:abstractNumId w:val="6"/>
  </w:num>
  <w:num w:numId="4" w16cid:durableId="738746286">
    <w:abstractNumId w:val="1"/>
  </w:num>
  <w:num w:numId="5" w16cid:durableId="1291788539">
    <w:abstractNumId w:val="4"/>
  </w:num>
  <w:num w:numId="6" w16cid:durableId="494153996">
    <w:abstractNumId w:val="7"/>
  </w:num>
  <w:num w:numId="7" w16cid:durableId="319043715">
    <w:abstractNumId w:val="0"/>
  </w:num>
  <w:num w:numId="8" w16cid:durableId="362436548">
    <w:abstractNumId w:val="9"/>
  </w:num>
  <w:num w:numId="9" w16cid:durableId="1871599676">
    <w:abstractNumId w:val="8"/>
  </w:num>
  <w:num w:numId="10" w16cid:durableId="1664889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CDB"/>
    <w:rsid w:val="000356AC"/>
    <w:rsid w:val="0004198F"/>
    <w:rsid w:val="00060FCD"/>
    <w:rsid w:val="000928E5"/>
    <w:rsid w:val="000B26D5"/>
    <w:rsid w:val="00146E2A"/>
    <w:rsid w:val="0019024F"/>
    <w:rsid w:val="001E138C"/>
    <w:rsid w:val="001F7F07"/>
    <w:rsid w:val="00210C12"/>
    <w:rsid w:val="002345B3"/>
    <w:rsid w:val="002830FE"/>
    <w:rsid w:val="00292CB1"/>
    <w:rsid w:val="00296628"/>
    <w:rsid w:val="002A2D6E"/>
    <w:rsid w:val="002A5D70"/>
    <w:rsid w:val="002B7C98"/>
    <w:rsid w:val="002C0EA5"/>
    <w:rsid w:val="002C2444"/>
    <w:rsid w:val="002C4C3B"/>
    <w:rsid w:val="002E1729"/>
    <w:rsid w:val="002E3240"/>
    <w:rsid w:val="002E78B8"/>
    <w:rsid w:val="00365CDB"/>
    <w:rsid w:val="00393477"/>
    <w:rsid w:val="003D34D0"/>
    <w:rsid w:val="003E0FDB"/>
    <w:rsid w:val="003F4C5D"/>
    <w:rsid w:val="00450164"/>
    <w:rsid w:val="00465D65"/>
    <w:rsid w:val="004E0356"/>
    <w:rsid w:val="004F7FBA"/>
    <w:rsid w:val="00581BAA"/>
    <w:rsid w:val="005B706B"/>
    <w:rsid w:val="00623AAE"/>
    <w:rsid w:val="006E005D"/>
    <w:rsid w:val="00726C43"/>
    <w:rsid w:val="00767B68"/>
    <w:rsid w:val="007756EA"/>
    <w:rsid w:val="007A390B"/>
    <w:rsid w:val="007B298D"/>
    <w:rsid w:val="007D1588"/>
    <w:rsid w:val="00800C21"/>
    <w:rsid w:val="008026D8"/>
    <w:rsid w:val="008161A0"/>
    <w:rsid w:val="008811A3"/>
    <w:rsid w:val="008D40A0"/>
    <w:rsid w:val="008F272D"/>
    <w:rsid w:val="00906C18"/>
    <w:rsid w:val="0091234B"/>
    <w:rsid w:val="00935A85"/>
    <w:rsid w:val="0099054C"/>
    <w:rsid w:val="009F519F"/>
    <w:rsid w:val="00A875CA"/>
    <w:rsid w:val="00AB34FC"/>
    <w:rsid w:val="00B0150E"/>
    <w:rsid w:val="00B146DB"/>
    <w:rsid w:val="00B244B4"/>
    <w:rsid w:val="00B70A77"/>
    <w:rsid w:val="00BC7C02"/>
    <w:rsid w:val="00BD4A1C"/>
    <w:rsid w:val="00C36BDB"/>
    <w:rsid w:val="00C37CA8"/>
    <w:rsid w:val="00C6095A"/>
    <w:rsid w:val="00CA39E7"/>
    <w:rsid w:val="00CC17FF"/>
    <w:rsid w:val="00CE0289"/>
    <w:rsid w:val="00D1012F"/>
    <w:rsid w:val="00D41A36"/>
    <w:rsid w:val="00D914E0"/>
    <w:rsid w:val="00DA2EF8"/>
    <w:rsid w:val="00DB6AF2"/>
    <w:rsid w:val="00DB7E33"/>
    <w:rsid w:val="00E1682D"/>
    <w:rsid w:val="00E401A0"/>
    <w:rsid w:val="00E54FB7"/>
    <w:rsid w:val="00E666D3"/>
    <w:rsid w:val="00E66DE0"/>
    <w:rsid w:val="00E9715D"/>
    <w:rsid w:val="00EB370D"/>
    <w:rsid w:val="00EC75D2"/>
    <w:rsid w:val="00ED6CB0"/>
    <w:rsid w:val="00F2489C"/>
    <w:rsid w:val="00F36AA6"/>
    <w:rsid w:val="00F474C6"/>
    <w:rsid w:val="00FC4627"/>
    <w:rsid w:val="00FD39A3"/>
    <w:rsid w:val="00FF2F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C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CDB"/>
    <w:pPr>
      <w:ind w:left="720"/>
      <w:contextualSpacing/>
    </w:pPr>
  </w:style>
  <w:style w:type="paragraph" w:styleId="BalloonText">
    <w:name w:val="Balloon Text"/>
    <w:basedOn w:val="Normal"/>
    <w:link w:val="BalloonTextChar"/>
    <w:uiPriority w:val="99"/>
    <w:semiHidden/>
    <w:unhideWhenUsed/>
    <w:rsid w:val="00FF2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F2E"/>
    <w:rPr>
      <w:rFonts w:ascii="Tahoma" w:hAnsi="Tahoma" w:cs="Tahoma"/>
      <w:sz w:val="16"/>
      <w:szCs w:val="16"/>
    </w:rPr>
  </w:style>
  <w:style w:type="character" w:styleId="Hyperlink">
    <w:name w:val="Hyperlink"/>
    <w:basedOn w:val="DefaultParagraphFont"/>
    <w:uiPriority w:val="99"/>
    <w:unhideWhenUsed/>
    <w:rsid w:val="00800C21"/>
    <w:rPr>
      <w:color w:val="0000FF" w:themeColor="hyperlink"/>
      <w:u w:val="single"/>
    </w:rPr>
  </w:style>
  <w:style w:type="paragraph" w:styleId="Header">
    <w:name w:val="header"/>
    <w:basedOn w:val="Normal"/>
    <w:link w:val="HeaderChar"/>
    <w:uiPriority w:val="99"/>
    <w:unhideWhenUsed/>
    <w:rsid w:val="002E7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8B8"/>
  </w:style>
  <w:style w:type="paragraph" w:styleId="Footer">
    <w:name w:val="footer"/>
    <w:basedOn w:val="Normal"/>
    <w:link w:val="FooterChar"/>
    <w:uiPriority w:val="99"/>
    <w:unhideWhenUsed/>
    <w:rsid w:val="002E7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8B8"/>
  </w:style>
  <w:style w:type="paragraph" w:styleId="Revision">
    <w:name w:val="Revision"/>
    <w:hidden/>
    <w:uiPriority w:val="99"/>
    <w:semiHidden/>
    <w:rsid w:val="00060F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80804">
      <w:bodyDiv w:val="1"/>
      <w:marLeft w:val="0"/>
      <w:marRight w:val="0"/>
      <w:marTop w:val="0"/>
      <w:marBottom w:val="0"/>
      <w:divBdr>
        <w:top w:val="none" w:sz="0" w:space="0" w:color="auto"/>
        <w:left w:val="none" w:sz="0" w:space="0" w:color="auto"/>
        <w:bottom w:val="none" w:sz="0" w:space="0" w:color="auto"/>
        <w:right w:val="none" w:sz="0" w:space="0" w:color="auto"/>
      </w:divBdr>
    </w:div>
    <w:div w:id="297804814">
      <w:bodyDiv w:val="1"/>
      <w:marLeft w:val="0"/>
      <w:marRight w:val="0"/>
      <w:marTop w:val="0"/>
      <w:marBottom w:val="0"/>
      <w:divBdr>
        <w:top w:val="none" w:sz="0" w:space="0" w:color="auto"/>
        <w:left w:val="none" w:sz="0" w:space="0" w:color="auto"/>
        <w:bottom w:val="none" w:sz="0" w:space="0" w:color="auto"/>
        <w:right w:val="none" w:sz="0" w:space="0" w:color="auto"/>
      </w:divBdr>
    </w:div>
    <w:div w:id="367069194">
      <w:bodyDiv w:val="1"/>
      <w:marLeft w:val="0"/>
      <w:marRight w:val="0"/>
      <w:marTop w:val="0"/>
      <w:marBottom w:val="0"/>
      <w:divBdr>
        <w:top w:val="none" w:sz="0" w:space="0" w:color="auto"/>
        <w:left w:val="none" w:sz="0" w:space="0" w:color="auto"/>
        <w:bottom w:val="none" w:sz="0" w:space="0" w:color="auto"/>
        <w:right w:val="none" w:sz="0" w:space="0" w:color="auto"/>
      </w:divBdr>
    </w:div>
    <w:div w:id="516308182">
      <w:bodyDiv w:val="1"/>
      <w:marLeft w:val="0"/>
      <w:marRight w:val="0"/>
      <w:marTop w:val="0"/>
      <w:marBottom w:val="0"/>
      <w:divBdr>
        <w:top w:val="none" w:sz="0" w:space="0" w:color="auto"/>
        <w:left w:val="none" w:sz="0" w:space="0" w:color="auto"/>
        <w:bottom w:val="none" w:sz="0" w:space="0" w:color="auto"/>
        <w:right w:val="none" w:sz="0" w:space="0" w:color="auto"/>
      </w:divBdr>
    </w:div>
    <w:div w:id="616958613">
      <w:bodyDiv w:val="1"/>
      <w:marLeft w:val="0"/>
      <w:marRight w:val="0"/>
      <w:marTop w:val="0"/>
      <w:marBottom w:val="0"/>
      <w:divBdr>
        <w:top w:val="none" w:sz="0" w:space="0" w:color="auto"/>
        <w:left w:val="none" w:sz="0" w:space="0" w:color="auto"/>
        <w:bottom w:val="none" w:sz="0" w:space="0" w:color="auto"/>
        <w:right w:val="none" w:sz="0" w:space="0" w:color="auto"/>
      </w:divBdr>
    </w:div>
    <w:div w:id="620843307">
      <w:bodyDiv w:val="1"/>
      <w:marLeft w:val="0"/>
      <w:marRight w:val="0"/>
      <w:marTop w:val="0"/>
      <w:marBottom w:val="0"/>
      <w:divBdr>
        <w:top w:val="none" w:sz="0" w:space="0" w:color="auto"/>
        <w:left w:val="none" w:sz="0" w:space="0" w:color="auto"/>
        <w:bottom w:val="none" w:sz="0" w:space="0" w:color="auto"/>
        <w:right w:val="none" w:sz="0" w:space="0" w:color="auto"/>
      </w:divBdr>
    </w:div>
    <w:div w:id="675620241">
      <w:bodyDiv w:val="1"/>
      <w:marLeft w:val="0"/>
      <w:marRight w:val="0"/>
      <w:marTop w:val="0"/>
      <w:marBottom w:val="0"/>
      <w:divBdr>
        <w:top w:val="none" w:sz="0" w:space="0" w:color="auto"/>
        <w:left w:val="none" w:sz="0" w:space="0" w:color="auto"/>
        <w:bottom w:val="none" w:sz="0" w:space="0" w:color="auto"/>
        <w:right w:val="none" w:sz="0" w:space="0" w:color="auto"/>
      </w:divBdr>
    </w:div>
    <w:div w:id="732895817">
      <w:bodyDiv w:val="1"/>
      <w:marLeft w:val="0"/>
      <w:marRight w:val="0"/>
      <w:marTop w:val="0"/>
      <w:marBottom w:val="0"/>
      <w:divBdr>
        <w:top w:val="none" w:sz="0" w:space="0" w:color="auto"/>
        <w:left w:val="none" w:sz="0" w:space="0" w:color="auto"/>
        <w:bottom w:val="none" w:sz="0" w:space="0" w:color="auto"/>
        <w:right w:val="none" w:sz="0" w:space="0" w:color="auto"/>
      </w:divBdr>
    </w:div>
    <w:div w:id="822162422">
      <w:bodyDiv w:val="1"/>
      <w:marLeft w:val="0"/>
      <w:marRight w:val="0"/>
      <w:marTop w:val="0"/>
      <w:marBottom w:val="0"/>
      <w:divBdr>
        <w:top w:val="none" w:sz="0" w:space="0" w:color="auto"/>
        <w:left w:val="none" w:sz="0" w:space="0" w:color="auto"/>
        <w:bottom w:val="none" w:sz="0" w:space="0" w:color="auto"/>
        <w:right w:val="none" w:sz="0" w:space="0" w:color="auto"/>
      </w:divBdr>
    </w:div>
    <w:div w:id="870874779">
      <w:bodyDiv w:val="1"/>
      <w:marLeft w:val="0"/>
      <w:marRight w:val="0"/>
      <w:marTop w:val="0"/>
      <w:marBottom w:val="0"/>
      <w:divBdr>
        <w:top w:val="none" w:sz="0" w:space="0" w:color="auto"/>
        <w:left w:val="none" w:sz="0" w:space="0" w:color="auto"/>
        <w:bottom w:val="none" w:sz="0" w:space="0" w:color="auto"/>
        <w:right w:val="none" w:sz="0" w:space="0" w:color="auto"/>
      </w:divBdr>
    </w:div>
    <w:div w:id="1176336971">
      <w:bodyDiv w:val="1"/>
      <w:marLeft w:val="0"/>
      <w:marRight w:val="0"/>
      <w:marTop w:val="0"/>
      <w:marBottom w:val="0"/>
      <w:divBdr>
        <w:top w:val="none" w:sz="0" w:space="0" w:color="auto"/>
        <w:left w:val="none" w:sz="0" w:space="0" w:color="auto"/>
        <w:bottom w:val="none" w:sz="0" w:space="0" w:color="auto"/>
        <w:right w:val="none" w:sz="0" w:space="0" w:color="auto"/>
      </w:divBdr>
    </w:div>
    <w:div w:id="1474904859">
      <w:bodyDiv w:val="1"/>
      <w:marLeft w:val="0"/>
      <w:marRight w:val="0"/>
      <w:marTop w:val="0"/>
      <w:marBottom w:val="0"/>
      <w:divBdr>
        <w:top w:val="none" w:sz="0" w:space="0" w:color="auto"/>
        <w:left w:val="none" w:sz="0" w:space="0" w:color="auto"/>
        <w:bottom w:val="none" w:sz="0" w:space="0" w:color="auto"/>
        <w:right w:val="none" w:sz="0" w:space="0" w:color="auto"/>
      </w:divBdr>
    </w:div>
    <w:div w:id="1555312478">
      <w:bodyDiv w:val="1"/>
      <w:marLeft w:val="0"/>
      <w:marRight w:val="0"/>
      <w:marTop w:val="0"/>
      <w:marBottom w:val="0"/>
      <w:divBdr>
        <w:top w:val="none" w:sz="0" w:space="0" w:color="auto"/>
        <w:left w:val="none" w:sz="0" w:space="0" w:color="auto"/>
        <w:bottom w:val="none" w:sz="0" w:space="0" w:color="auto"/>
        <w:right w:val="none" w:sz="0" w:space="0" w:color="auto"/>
      </w:divBdr>
    </w:div>
    <w:div w:id="1868592835">
      <w:bodyDiv w:val="1"/>
      <w:marLeft w:val="0"/>
      <w:marRight w:val="0"/>
      <w:marTop w:val="0"/>
      <w:marBottom w:val="0"/>
      <w:divBdr>
        <w:top w:val="none" w:sz="0" w:space="0" w:color="auto"/>
        <w:left w:val="none" w:sz="0" w:space="0" w:color="auto"/>
        <w:bottom w:val="none" w:sz="0" w:space="0" w:color="auto"/>
        <w:right w:val="none" w:sz="0" w:space="0" w:color="auto"/>
      </w:divBdr>
    </w:div>
    <w:div w:id="2055426966">
      <w:bodyDiv w:val="1"/>
      <w:marLeft w:val="0"/>
      <w:marRight w:val="0"/>
      <w:marTop w:val="0"/>
      <w:marBottom w:val="0"/>
      <w:divBdr>
        <w:top w:val="none" w:sz="0" w:space="0" w:color="auto"/>
        <w:left w:val="none" w:sz="0" w:space="0" w:color="auto"/>
        <w:bottom w:val="none" w:sz="0" w:space="0" w:color="auto"/>
        <w:right w:val="none" w:sz="0" w:space="0" w:color="auto"/>
      </w:divBdr>
    </w:div>
    <w:div w:id="210950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ci.b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fbeelding xmlns="86d8d313-957f-44b4-bb66-f96f0d40e904" xsi:nil="true"/>
    <nb xmlns="86d8d313-957f-44b4-bb66-f96f0d40e904" xsi:nil="true"/>
    <TaxCatchAll xmlns="ff960655-24fd-4f3f-8e9c-285049d99abf" xsi:nil="true"/>
    <lcf76f155ced4ddcb4097134ff3c332f xmlns="86d8d313-957f-44b4-bb66-f96f0d40e90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9" ma:contentTypeDescription="Create a new document." ma:contentTypeScope="" ma:versionID="ddf3a100450ceadf4e02567bd12f36a6">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58c9c0cccb7c0426fa8632eb013b2e2d"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324CD-583A-4C5B-AE38-6E525F50BF25}">
  <ds:schemaRefs>
    <ds:schemaRef ds:uri="http://schemas.microsoft.com/office/2006/metadata/properties"/>
    <ds:schemaRef ds:uri="http://schemas.microsoft.com/office/infopath/2007/PartnerControls"/>
    <ds:schemaRef ds:uri="86d8d313-957f-44b4-bb66-f96f0d40e904"/>
    <ds:schemaRef ds:uri="ff960655-24fd-4f3f-8e9c-285049d99abf"/>
  </ds:schemaRefs>
</ds:datastoreItem>
</file>

<file path=customXml/itemProps2.xml><?xml version="1.0" encoding="utf-8"?>
<ds:datastoreItem xmlns:ds="http://schemas.openxmlformats.org/officeDocument/2006/customXml" ds:itemID="{EAC519A9-6AD5-4BF6-8C00-63B25310B335}">
  <ds:schemaRefs>
    <ds:schemaRef ds:uri="http://schemas.openxmlformats.org/officeDocument/2006/bibliography"/>
  </ds:schemaRefs>
</ds:datastoreItem>
</file>

<file path=customXml/itemProps3.xml><?xml version="1.0" encoding="utf-8"?>
<ds:datastoreItem xmlns:ds="http://schemas.openxmlformats.org/officeDocument/2006/customXml" ds:itemID="{BC8AB55D-B174-4BE0-A73F-D80450A95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B22E2E-744F-453E-A994-BB8F15875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2516</Words>
  <Characters>14342</Characters>
  <Application>Microsoft Office Word</Application>
  <DocSecurity>0</DocSecurity>
  <Lines>119</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16825</CharactersWithSpaces>
  <SharedDoc>false</SharedDoc>
  <HLinks>
    <vt:vector size="6" baseType="variant">
      <vt:variant>
        <vt:i4>6946872</vt:i4>
      </vt:variant>
      <vt:variant>
        <vt:i4>0</vt:i4>
      </vt:variant>
      <vt:variant>
        <vt:i4>0</vt:i4>
      </vt:variant>
      <vt:variant>
        <vt:i4>5</vt:i4>
      </vt:variant>
      <vt:variant>
        <vt:lpwstr>http://www.icci.be/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2019-03-31T17:50:00Z</dcterms:created>
  <dcterms:modified xsi:type="dcterms:W3CDTF">2023-08-16T15:27:00Z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Order">
    <vt:r8>4906600</vt:r8>
  </property>
  <property fmtid="{D5CDD505-2E9C-101B-9397-08002B2CF9AE}" pid="4" name="MediaServiceImageTags">
    <vt:lpwstr/>
  </property>
</Properties>
</file>