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826A" w14:textId="709503C7" w:rsidR="00D67C7E" w:rsidRPr="00850E24" w:rsidRDefault="00D67C7E" w:rsidP="00D67C7E">
      <w:pPr>
        <w:jc w:val="center"/>
        <w:rPr>
          <w:rFonts w:ascii="Times New Roman" w:hAnsi="Times New Roman" w:cs="Times New Roman"/>
          <w:b/>
          <w:caps/>
          <w:sz w:val="24"/>
          <w:szCs w:val="24"/>
          <w:lang w:val="fr-BE"/>
        </w:rPr>
      </w:pPr>
      <w:r w:rsidRPr="00850E24">
        <w:rPr>
          <w:rFonts w:ascii="Times New Roman" w:hAnsi="Times New Roman" w:cs="Times New Roman"/>
          <w:b/>
          <w:caps/>
          <w:sz w:val="24"/>
          <w:szCs w:val="24"/>
          <w:lang w:val="fr-BE"/>
        </w:rPr>
        <w:t xml:space="preserve">Annexe 6 – </w:t>
      </w:r>
      <w:r w:rsidR="00E0161E" w:rsidRPr="00850E24">
        <w:rPr>
          <w:rFonts w:ascii="Times New Roman" w:hAnsi="Times New Roman" w:cs="Times New Roman"/>
          <w:b/>
          <w:caps/>
          <w:sz w:val="24"/>
          <w:szCs w:val="24"/>
          <w:lang w:val="fr-BE"/>
        </w:rPr>
        <w:t xml:space="preserve">critères </w:t>
      </w:r>
      <w:r w:rsidRPr="00850E24">
        <w:rPr>
          <w:rFonts w:ascii="Times New Roman" w:hAnsi="Times New Roman" w:cs="Times New Roman"/>
          <w:b/>
          <w:caps/>
          <w:sz w:val="24"/>
          <w:szCs w:val="24"/>
          <w:lang w:val="fr-BE"/>
        </w:rPr>
        <w:t>pour determiner les « autres informations » conformément à la norme isa 720 (révisée)</w:t>
      </w:r>
    </w:p>
    <w:p w14:paraId="3994826C" w14:textId="77777777" w:rsidR="00D67C7E" w:rsidRPr="00850E24" w:rsidRDefault="00D67C7E" w:rsidP="00D67C7E">
      <w:pPr>
        <w:rPr>
          <w:rFonts w:ascii="Times New Roman" w:hAnsi="Times New Roman" w:cs="Times New Roman"/>
          <w:b/>
          <w:caps/>
          <w:szCs w:val="24"/>
          <w:u w:val="single"/>
          <w:lang w:val="fr-BE"/>
        </w:rPr>
      </w:pPr>
      <w:r w:rsidRPr="00850E24">
        <w:rPr>
          <w:rFonts w:ascii="Times New Roman" w:hAnsi="Times New Roman" w:cs="Times New Roman"/>
          <w:b/>
          <w:caps/>
          <w:szCs w:val="24"/>
          <w:u w:val="single"/>
          <w:lang w:val="fr-BE"/>
        </w:rPr>
        <w:t>Contexte</w:t>
      </w:r>
    </w:p>
    <w:p w14:paraId="3994826D" w14:textId="77777777" w:rsidR="00D67C7E" w:rsidRPr="00850E24" w:rsidRDefault="00D67C7E" w:rsidP="00D67C7E">
      <w:pPr>
        <w:jc w:val="both"/>
        <w:rPr>
          <w:rFonts w:ascii="Times New Roman" w:hAnsi="Times New Roman" w:cs="Times New Roman"/>
          <w:szCs w:val="24"/>
          <w:lang w:val="fr-CA"/>
        </w:rPr>
      </w:pPr>
      <w:r w:rsidRPr="00850E24">
        <w:rPr>
          <w:rFonts w:ascii="Times New Roman" w:hAnsi="Times New Roman" w:cs="Times New Roman"/>
          <w:szCs w:val="24"/>
          <w:lang w:val="fr-BE"/>
        </w:rPr>
        <w:t xml:space="preserve">Au cours de sa mission, le commissaire doit déterminer si les informations financières (autres que les états financiers ou son rapport du commissaire) et non financières fournies par l’organe de gestion impliquent le respect de la norme </w:t>
      </w:r>
      <w:r w:rsidRPr="00850E24">
        <w:rPr>
          <w:rFonts w:ascii="Times New Roman" w:hAnsi="Times New Roman" w:cs="Times New Roman"/>
          <w:bCs/>
          <w:szCs w:val="24"/>
          <w:lang w:val="fr-FR"/>
        </w:rPr>
        <w:t xml:space="preserve">ISA 720 (Révisée), </w:t>
      </w:r>
      <w:r w:rsidRPr="00850E24">
        <w:rPr>
          <w:rFonts w:ascii="Times New Roman" w:hAnsi="Times New Roman" w:cs="Times New Roman"/>
          <w:i/>
          <w:szCs w:val="24"/>
          <w:lang w:val="fr-CA"/>
        </w:rPr>
        <w:t>Les obligations de l’auditeur au regard des autres informations</w:t>
      </w:r>
      <w:r w:rsidRPr="00850E24">
        <w:rPr>
          <w:rFonts w:ascii="Times New Roman" w:hAnsi="Times New Roman" w:cs="Times New Roman"/>
          <w:szCs w:val="24"/>
          <w:lang w:val="fr-CA"/>
        </w:rPr>
        <w:t>.</w:t>
      </w:r>
    </w:p>
    <w:p w14:paraId="3994826E" w14:textId="1FBED81E" w:rsidR="00D67C7E" w:rsidRPr="00850E24" w:rsidRDefault="00D67C7E" w:rsidP="00D67C7E">
      <w:pPr>
        <w:jc w:val="both"/>
        <w:rPr>
          <w:rFonts w:ascii="Times New Roman" w:hAnsi="Times New Roman" w:cs="Times New Roman"/>
          <w:szCs w:val="24"/>
          <w:lang w:val="fr-BE"/>
        </w:rPr>
      </w:pPr>
      <w:r w:rsidRPr="00850E24">
        <w:rPr>
          <w:rFonts w:ascii="Times New Roman" w:hAnsi="Times New Roman" w:cs="Times New Roman"/>
          <w:szCs w:val="24"/>
          <w:lang w:val="fr-CA"/>
        </w:rPr>
        <w:t xml:space="preserve">Afin de pouvoir déterminer quels documents sont visés par la définition de la norme ISA 720 (Révisée), le commissaire devra déterminer si le(s) document(s) répond à </w:t>
      </w:r>
      <w:r w:rsidRPr="00850E24">
        <w:rPr>
          <w:rFonts w:ascii="Times New Roman" w:hAnsi="Times New Roman" w:cs="Times New Roman"/>
          <w:i/>
          <w:szCs w:val="24"/>
          <w:lang w:val="fr-CA"/>
        </w:rPr>
        <w:t xml:space="preserve">tous </w:t>
      </w:r>
      <w:r w:rsidRPr="00850E24">
        <w:rPr>
          <w:rFonts w:ascii="Times New Roman" w:hAnsi="Times New Roman" w:cs="Times New Roman"/>
          <w:szCs w:val="24"/>
          <w:lang w:val="fr-CA"/>
        </w:rPr>
        <w:t xml:space="preserve">les critères repris ci-dessous. </w:t>
      </w:r>
      <w:r w:rsidRPr="00850E24">
        <w:rPr>
          <w:rFonts w:ascii="Times New Roman" w:hAnsi="Times New Roman" w:cs="Times New Roman"/>
          <w:szCs w:val="24"/>
          <w:lang w:val="fr-BE"/>
        </w:rPr>
        <w:t xml:space="preserve">Par ailleurs, quelques exemples concrets sont présentés afin de comprendre les critères, complétés par des informations importantes de la norme ISA 720 (Révisée). </w:t>
      </w:r>
    </w:p>
    <w:p w14:paraId="3994826F" w14:textId="77777777" w:rsidR="00D67C7E" w:rsidRPr="00850E24" w:rsidRDefault="00D67C7E" w:rsidP="00D67C7E">
      <w:pPr>
        <w:rPr>
          <w:rFonts w:ascii="Times New Roman" w:hAnsi="Times New Roman" w:cs="Times New Roman"/>
          <w:b/>
          <w:caps/>
          <w:szCs w:val="24"/>
          <w:u w:val="single"/>
          <w:lang w:val="fr-BE"/>
        </w:rPr>
      </w:pPr>
      <w:r w:rsidRPr="00850E24">
        <w:rPr>
          <w:rFonts w:ascii="Times New Roman" w:hAnsi="Times New Roman" w:cs="Times New Roman"/>
          <w:b/>
          <w:caps/>
          <w:szCs w:val="24"/>
          <w:u w:val="single"/>
          <w:lang w:val="fr-BE"/>
        </w:rPr>
        <w:t>CRITèRES auquel le(s) document(s) doivent répondre</w:t>
      </w:r>
    </w:p>
    <w:p w14:paraId="39948270" w14:textId="078CAF33" w:rsidR="00D67C7E" w:rsidRPr="00850E24" w:rsidRDefault="00D67C7E" w:rsidP="00E0161E">
      <w:pPr>
        <w:pStyle w:val="ListParagraph"/>
        <w:numPr>
          <w:ilvl w:val="0"/>
          <w:numId w:val="1"/>
        </w:numPr>
        <w:spacing w:after="120"/>
        <w:ind w:left="714" w:hanging="357"/>
        <w:contextualSpacing w:val="0"/>
        <w:jc w:val="both"/>
        <w:rPr>
          <w:rFonts w:ascii="Times New Roman" w:hAnsi="Times New Roman" w:cs="Times New Roman"/>
          <w:szCs w:val="24"/>
          <w:lang w:val="fr-BE"/>
        </w:rPr>
      </w:pPr>
      <w:r w:rsidRPr="00850E24">
        <w:rPr>
          <w:rFonts w:ascii="Times New Roman" w:hAnsi="Times New Roman" w:cs="Times New Roman"/>
          <w:szCs w:val="24"/>
          <w:lang w:val="fr-BE"/>
        </w:rPr>
        <w:t>Il s’agit d’un document</w:t>
      </w:r>
      <w:r w:rsidRPr="00850E24">
        <w:rPr>
          <w:rStyle w:val="FootnoteReference"/>
          <w:rFonts w:ascii="Times New Roman" w:hAnsi="Times New Roman" w:cs="Times New Roman"/>
          <w:szCs w:val="24"/>
          <w:lang w:val="fr-BE"/>
        </w:rPr>
        <w:footnoteReference w:id="2"/>
      </w:r>
      <w:r w:rsidRPr="00850E24">
        <w:rPr>
          <w:rFonts w:ascii="Times New Roman" w:hAnsi="Times New Roman" w:cs="Times New Roman"/>
          <w:szCs w:val="24"/>
          <w:lang w:val="fr-BE"/>
        </w:rPr>
        <w:t xml:space="preserve"> établi sur une base annuelle</w:t>
      </w:r>
      <w:r w:rsidRPr="00850E24">
        <w:rPr>
          <w:rStyle w:val="FootnoteReference"/>
          <w:rFonts w:ascii="Times New Roman" w:hAnsi="Times New Roman" w:cs="Times New Roman"/>
          <w:szCs w:val="24"/>
          <w:lang w:val="fr-BE"/>
        </w:rPr>
        <w:footnoteReference w:id="3"/>
      </w:r>
      <w:r w:rsidRPr="00850E24">
        <w:rPr>
          <w:rFonts w:ascii="Times New Roman" w:hAnsi="Times New Roman" w:cs="Times New Roman"/>
          <w:szCs w:val="24"/>
          <w:lang w:val="fr-BE"/>
        </w:rPr>
        <w:t xml:space="preserve">. </w:t>
      </w:r>
    </w:p>
    <w:p w14:paraId="39948271" w14:textId="54B2F9CE" w:rsidR="00D67C7E" w:rsidRPr="00850E24" w:rsidRDefault="00D67C7E" w:rsidP="00E0161E">
      <w:pPr>
        <w:pStyle w:val="ListParagraph"/>
        <w:numPr>
          <w:ilvl w:val="0"/>
          <w:numId w:val="1"/>
        </w:numPr>
        <w:spacing w:after="120"/>
        <w:ind w:left="714" w:hanging="357"/>
        <w:contextualSpacing w:val="0"/>
        <w:jc w:val="both"/>
        <w:rPr>
          <w:rFonts w:ascii="Times New Roman" w:hAnsi="Times New Roman" w:cs="Times New Roman"/>
          <w:szCs w:val="24"/>
          <w:lang w:val="fr-BE"/>
        </w:rPr>
      </w:pPr>
      <w:r w:rsidRPr="00850E24">
        <w:rPr>
          <w:rFonts w:ascii="Times New Roman" w:hAnsi="Times New Roman" w:cs="Times New Roman"/>
          <w:szCs w:val="24"/>
          <w:lang w:val="fr-BE"/>
        </w:rPr>
        <w:t xml:space="preserve">Le document a été établi en application de la législation, de la réglementation ou de la pratique. </w:t>
      </w:r>
    </w:p>
    <w:p w14:paraId="39948272" w14:textId="64C96871" w:rsidR="00D67C7E" w:rsidRPr="00850E24" w:rsidRDefault="00D67C7E" w:rsidP="00E0161E">
      <w:pPr>
        <w:pStyle w:val="ListParagraph"/>
        <w:numPr>
          <w:ilvl w:val="0"/>
          <w:numId w:val="1"/>
        </w:numPr>
        <w:jc w:val="both"/>
        <w:rPr>
          <w:rFonts w:ascii="Times New Roman" w:hAnsi="Times New Roman" w:cs="Times New Roman"/>
          <w:szCs w:val="24"/>
          <w:lang w:val="fr-BE"/>
        </w:rPr>
      </w:pPr>
      <w:r w:rsidRPr="00850E24">
        <w:rPr>
          <w:rFonts w:ascii="Times New Roman" w:hAnsi="Times New Roman" w:cs="Times New Roman"/>
          <w:szCs w:val="24"/>
          <w:lang w:val="fr-BE"/>
        </w:rPr>
        <w:t xml:space="preserve">Les destinataires du document sont (en premier lieu) des actionnaires ou des parties prenantes similaires. </w:t>
      </w:r>
    </w:p>
    <w:p w14:paraId="39948273" w14:textId="77777777" w:rsidR="00D67C7E" w:rsidRPr="00850E24" w:rsidRDefault="00D67C7E" w:rsidP="00E0161E">
      <w:pPr>
        <w:pStyle w:val="ListParagraph"/>
        <w:ind w:left="1416"/>
        <w:jc w:val="both"/>
        <w:rPr>
          <w:rFonts w:ascii="Times New Roman" w:hAnsi="Times New Roman" w:cs="Times New Roman"/>
          <w:szCs w:val="24"/>
          <w:lang w:val="fr-BE"/>
        </w:rPr>
      </w:pPr>
      <w:r w:rsidRPr="00850E24">
        <w:rPr>
          <w:rFonts w:ascii="Times New Roman" w:hAnsi="Times New Roman" w:cs="Times New Roman"/>
          <w:szCs w:val="24"/>
          <w:lang w:val="fr-BE"/>
        </w:rPr>
        <w:t xml:space="preserve">La mise à la disposition du document des actionnaires (ou des parties prenantes similaires) se fait en application de la législation, de la réglementation ou de la pratique, indépendamment si par après ce document est rendu public au « grand public » (p. ex. en le déposant). </w:t>
      </w:r>
    </w:p>
    <w:p w14:paraId="39948274" w14:textId="77777777" w:rsidR="00D67C7E" w:rsidRPr="00850E24" w:rsidRDefault="00D67C7E" w:rsidP="00E0161E">
      <w:pPr>
        <w:pStyle w:val="ListParagraph"/>
        <w:spacing w:after="120" w:line="276" w:lineRule="auto"/>
        <w:ind w:left="1416"/>
        <w:contextualSpacing w:val="0"/>
        <w:jc w:val="both"/>
        <w:rPr>
          <w:rFonts w:ascii="Times New Roman" w:hAnsi="Times New Roman" w:cs="Times New Roman"/>
          <w:szCs w:val="24"/>
          <w:lang w:val="fr-BE"/>
        </w:rPr>
      </w:pPr>
      <w:r w:rsidRPr="00850E24">
        <w:rPr>
          <w:rFonts w:ascii="Times New Roman" w:hAnsi="Times New Roman" w:cs="Times New Roman"/>
          <w:szCs w:val="24"/>
          <w:lang w:val="fr-BE"/>
        </w:rPr>
        <w:t>En d’autres termes, le dépôt du document ne déclenche pas en soi l’application de la norme ISA 7</w:t>
      </w:r>
      <w:r w:rsidR="00472C3D" w:rsidRPr="00850E24">
        <w:rPr>
          <w:rFonts w:ascii="Times New Roman" w:hAnsi="Times New Roman" w:cs="Times New Roman"/>
          <w:szCs w:val="24"/>
          <w:lang w:val="fr-BE"/>
        </w:rPr>
        <w:t>20 (Révisée).</w:t>
      </w:r>
    </w:p>
    <w:p w14:paraId="39948275" w14:textId="1DB8B30F" w:rsidR="00D67C7E" w:rsidRPr="00850E24" w:rsidRDefault="00D67C7E" w:rsidP="00E0161E">
      <w:pPr>
        <w:pStyle w:val="ListParagraph"/>
        <w:numPr>
          <w:ilvl w:val="0"/>
          <w:numId w:val="1"/>
        </w:numPr>
        <w:jc w:val="both"/>
        <w:rPr>
          <w:rFonts w:ascii="Times New Roman" w:hAnsi="Times New Roman" w:cs="Times New Roman"/>
          <w:szCs w:val="24"/>
          <w:lang w:val="fr-BE"/>
        </w:rPr>
      </w:pPr>
      <w:r w:rsidRPr="00850E24">
        <w:rPr>
          <w:rFonts w:ascii="Times New Roman" w:hAnsi="Times New Roman" w:cs="Times New Roman"/>
          <w:szCs w:val="24"/>
          <w:lang w:val="fr-BE"/>
        </w:rPr>
        <w:t xml:space="preserve">Le document consiste à fournir des informations sur </w:t>
      </w:r>
      <w:r w:rsidRPr="00850E24">
        <w:rPr>
          <w:rFonts w:ascii="Times New Roman" w:hAnsi="Times New Roman" w:cs="Times New Roman"/>
          <w:i/>
          <w:szCs w:val="24"/>
          <w:lang w:val="fr-BE"/>
        </w:rPr>
        <w:t xml:space="preserve">tous </w:t>
      </w:r>
      <w:r w:rsidRPr="00850E24">
        <w:rPr>
          <w:rFonts w:ascii="Times New Roman" w:hAnsi="Times New Roman" w:cs="Times New Roman"/>
          <w:szCs w:val="24"/>
          <w:lang w:val="fr-BE"/>
        </w:rPr>
        <w:t>les points suivants :</w:t>
      </w:r>
    </w:p>
    <w:p w14:paraId="39948276" w14:textId="77777777" w:rsidR="00D67C7E" w:rsidRPr="00850E24" w:rsidRDefault="00D67C7E" w:rsidP="00E0161E">
      <w:pPr>
        <w:pStyle w:val="ListParagraph"/>
        <w:numPr>
          <w:ilvl w:val="0"/>
          <w:numId w:val="2"/>
        </w:numPr>
        <w:jc w:val="both"/>
        <w:rPr>
          <w:rFonts w:ascii="Times New Roman" w:hAnsi="Times New Roman" w:cs="Times New Roman"/>
          <w:szCs w:val="24"/>
          <w:lang w:val="fr-BE"/>
        </w:rPr>
      </w:pPr>
      <w:r w:rsidRPr="00850E24">
        <w:rPr>
          <w:rFonts w:ascii="Times New Roman" w:hAnsi="Times New Roman" w:cs="Times New Roman"/>
          <w:szCs w:val="24"/>
          <w:lang w:val="fr-BE"/>
        </w:rPr>
        <w:t>Les activités de l’entité contrôlée, et</w:t>
      </w:r>
    </w:p>
    <w:p w14:paraId="39948277" w14:textId="77777777" w:rsidR="00D67C7E" w:rsidRPr="00850E24" w:rsidRDefault="00D67C7E" w:rsidP="00E0161E">
      <w:pPr>
        <w:pStyle w:val="ListParagraph"/>
        <w:numPr>
          <w:ilvl w:val="0"/>
          <w:numId w:val="2"/>
        </w:numPr>
        <w:jc w:val="both"/>
        <w:rPr>
          <w:rFonts w:ascii="Times New Roman" w:hAnsi="Times New Roman" w:cs="Times New Roman"/>
          <w:szCs w:val="24"/>
          <w:lang w:val="fr-BE"/>
        </w:rPr>
      </w:pPr>
      <w:r w:rsidRPr="00850E24">
        <w:rPr>
          <w:rFonts w:ascii="Times New Roman" w:hAnsi="Times New Roman" w:cs="Times New Roman"/>
          <w:szCs w:val="24"/>
          <w:lang w:val="fr-BE"/>
        </w:rPr>
        <w:t>Les résultats financiers, et</w:t>
      </w:r>
    </w:p>
    <w:p w14:paraId="39948278" w14:textId="77777777" w:rsidR="00D67C7E" w:rsidRPr="00850E24" w:rsidRDefault="00D67C7E" w:rsidP="00E0161E">
      <w:pPr>
        <w:pStyle w:val="ListParagraph"/>
        <w:numPr>
          <w:ilvl w:val="0"/>
          <w:numId w:val="2"/>
        </w:numPr>
        <w:jc w:val="both"/>
        <w:rPr>
          <w:rFonts w:ascii="Times New Roman" w:hAnsi="Times New Roman" w:cs="Times New Roman"/>
          <w:szCs w:val="24"/>
          <w:lang w:val="fr-BE"/>
        </w:rPr>
      </w:pPr>
      <w:r w:rsidRPr="00850E24">
        <w:rPr>
          <w:rFonts w:ascii="Times New Roman" w:hAnsi="Times New Roman" w:cs="Times New Roman"/>
          <w:szCs w:val="24"/>
          <w:lang w:val="fr-BE"/>
        </w:rPr>
        <w:t>La situation financière</w:t>
      </w:r>
    </w:p>
    <w:p w14:paraId="39948279" w14:textId="51BA1187" w:rsidR="00D67C7E" w:rsidRPr="00850E24" w:rsidRDefault="00D67C7E" w:rsidP="00E0161E">
      <w:pPr>
        <w:pStyle w:val="ListParagraph"/>
        <w:spacing w:after="120" w:line="276" w:lineRule="auto"/>
        <w:ind w:left="714"/>
        <w:contextualSpacing w:val="0"/>
        <w:jc w:val="both"/>
        <w:rPr>
          <w:rFonts w:ascii="Times New Roman" w:hAnsi="Times New Roman" w:cs="Times New Roman"/>
          <w:szCs w:val="24"/>
          <w:lang w:val="fr-BE"/>
        </w:rPr>
      </w:pPr>
      <w:proofErr w:type="gramStart"/>
      <w:r w:rsidRPr="00850E24">
        <w:rPr>
          <w:rFonts w:ascii="Times New Roman" w:hAnsi="Times New Roman" w:cs="Times New Roman"/>
          <w:szCs w:val="24"/>
          <w:lang w:val="fr-BE"/>
        </w:rPr>
        <w:t>tels</w:t>
      </w:r>
      <w:proofErr w:type="gramEnd"/>
      <w:r w:rsidRPr="00850E24">
        <w:rPr>
          <w:rFonts w:ascii="Times New Roman" w:hAnsi="Times New Roman" w:cs="Times New Roman"/>
          <w:szCs w:val="24"/>
          <w:lang w:val="fr-BE"/>
        </w:rPr>
        <w:t xml:space="preserve"> qu’il sont présentés dans les comptes annuels (consolidés).</w:t>
      </w:r>
    </w:p>
    <w:p w14:paraId="3994827A" w14:textId="17D50C84" w:rsidR="00D67C7E" w:rsidRPr="00850E24" w:rsidRDefault="00D67C7E" w:rsidP="00E0161E">
      <w:pPr>
        <w:pStyle w:val="ListParagraph"/>
        <w:numPr>
          <w:ilvl w:val="0"/>
          <w:numId w:val="1"/>
        </w:numPr>
        <w:jc w:val="both"/>
        <w:rPr>
          <w:rFonts w:ascii="Times New Roman" w:hAnsi="Times New Roman" w:cs="Times New Roman"/>
          <w:szCs w:val="24"/>
          <w:lang w:val="fr-BE"/>
        </w:rPr>
      </w:pPr>
      <w:r w:rsidRPr="00850E24">
        <w:rPr>
          <w:rFonts w:ascii="Times New Roman" w:hAnsi="Times New Roman" w:cs="Times New Roman"/>
          <w:szCs w:val="24"/>
          <w:lang w:val="fr-BE"/>
        </w:rPr>
        <w:t xml:space="preserve">Le document accompagne les comptes annuels (consolidés) et le rapport du commissaire. </w:t>
      </w:r>
    </w:p>
    <w:p w14:paraId="3994827B" w14:textId="77777777" w:rsidR="00D67C7E" w:rsidRPr="00850E24" w:rsidRDefault="00D67C7E" w:rsidP="00E0161E">
      <w:pPr>
        <w:pStyle w:val="ListParagraph"/>
        <w:spacing w:after="120" w:line="276" w:lineRule="auto"/>
        <w:ind w:left="1416"/>
        <w:contextualSpacing w:val="0"/>
        <w:jc w:val="both"/>
        <w:rPr>
          <w:rFonts w:ascii="Times New Roman" w:hAnsi="Times New Roman" w:cs="Times New Roman"/>
          <w:szCs w:val="24"/>
          <w:lang w:val="fr-CA"/>
        </w:rPr>
      </w:pPr>
      <w:r w:rsidRPr="00850E24">
        <w:rPr>
          <w:rFonts w:ascii="Times New Roman" w:hAnsi="Times New Roman" w:cs="Times New Roman"/>
          <w:szCs w:val="24"/>
          <w:lang w:val="fr-BE"/>
        </w:rPr>
        <w:t>Il convient de noter que le terme « accompagner » doit généralement être lu comme « mis à la disposition en même temps aux actionnaires afin d’être lu conjointement avec les comptes annuels (consolidés) et le rapport du commissaire ». La norme ISA 720</w:t>
      </w:r>
      <w:r w:rsidR="00E0161E" w:rsidRPr="00850E24">
        <w:rPr>
          <w:rFonts w:ascii="Times New Roman" w:hAnsi="Times New Roman" w:cs="Times New Roman"/>
          <w:szCs w:val="24"/>
          <w:lang w:val="fr-BE"/>
        </w:rPr>
        <w:t xml:space="preserve"> (Révisée)</w:t>
      </w:r>
      <w:r w:rsidRPr="00850E24">
        <w:rPr>
          <w:rFonts w:ascii="Times New Roman" w:hAnsi="Times New Roman" w:cs="Times New Roman"/>
          <w:szCs w:val="24"/>
          <w:lang w:val="fr-BE"/>
        </w:rPr>
        <w:t>, paragraphe 13 (c), précise les mesures à prendre par le commissaire d</w:t>
      </w:r>
      <w:r w:rsidRPr="00850E24">
        <w:rPr>
          <w:rFonts w:ascii="Times New Roman" w:hAnsi="Times New Roman" w:cs="Times New Roman"/>
          <w:szCs w:val="24"/>
          <w:lang w:val="fr-CA"/>
        </w:rPr>
        <w:t xml:space="preserve">ans le cas où une partie ou la totalité du ou des documents ne sera disponible qu’après la date </w:t>
      </w:r>
      <w:proofErr w:type="gramStart"/>
      <w:r w:rsidRPr="00850E24">
        <w:rPr>
          <w:rFonts w:ascii="Times New Roman" w:hAnsi="Times New Roman" w:cs="Times New Roman"/>
          <w:szCs w:val="24"/>
          <w:lang w:val="fr-CA"/>
        </w:rPr>
        <w:t>du</w:t>
      </w:r>
      <w:proofErr w:type="gramEnd"/>
      <w:r w:rsidRPr="00850E24">
        <w:rPr>
          <w:rFonts w:ascii="Times New Roman" w:hAnsi="Times New Roman" w:cs="Times New Roman"/>
          <w:szCs w:val="24"/>
          <w:lang w:val="fr-CA"/>
        </w:rPr>
        <w:t xml:space="preserve"> rapport </w:t>
      </w:r>
      <w:r w:rsidR="00472C3D" w:rsidRPr="00850E24">
        <w:rPr>
          <w:rFonts w:ascii="Times New Roman" w:hAnsi="Times New Roman" w:cs="Times New Roman"/>
          <w:szCs w:val="24"/>
          <w:lang w:val="fr-CA"/>
        </w:rPr>
        <w:t>du commissaire.</w:t>
      </w:r>
    </w:p>
    <w:p w14:paraId="3994827C" w14:textId="3BFCB4F2" w:rsidR="00D67C7E" w:rsidRPr="00850E24" w:rsidRDefault="00D67C7E" w:rsidP="00D67C7E">
      <w:pPr>
        <w:pStyle w:val="ListParagraph"/>
        <w:numPr>
          <w:ilvl w:val="0"/>
          <w:numId w:val="1"/>
        </w:numPr>
        <w:jc w:val="both"/>
        <w:rPr>
          <w:rFonts w:ascii="Times New Roman" w:hAnsi="Times New Roman" w:cs="Times New Roman"/>
          <w:szCs w:val="24"/>
          <w:lang w:val="fr-BE"/>
        </w:rPr>
      </w:pPr>
      <w:r w:rsidRPr="00850E24">
        <w:rPr>
          <w:rFonts w:ascii="Times New Roman" w:hAnsi="Times New Roman" w:cs="Times New Roman"/>
          <w:szCs w:val="24"/>
          <w:lang w:val="fr-BE"/>
        </w:rPr>
        <w:t xml:space="preserve">Il ne s’agit pas d’un document qui a été établi en application de la loi ou la réglementation (ou la pratique) </w:t>
      </w:r>
      <w:r w:rsidRPr="00850E24">
        <w:rPr>
          <w:rFonts w:ascii="Times New Roman" w:hAnsi="Times New Roman" w:cs="Times New Roman"/>
          <w:lang w:val="fr-CA"/>
        </w:rPr>
        <w:t xml:space="preserve">en vue de </w:t>
      </w:r>
      <w:r w:rsidRPr="00850E24">
        <w:rPr>
          <w:rFonts w:ascii="Times New Roman" w:hAnsi="Times New Roman" w:cs="Times New Roman"/>
          <w:szCs w:val="24"/>
          <w:lang w:val="fr-BE"/>
        </w:rPr>
        <w:t>répondre</w:t>
      </w:r>
      <w:r w:rsidRPr="00850E24">
        <w:rPr>
          <w:rFonts w:ascii="Times New Roman" w:hAnsi="Times New Roman" w:cs="Times New Roman"/>
          <w:lang w:val="fr-CA"/>
        </w:rPr>
        <w:t xml:space="preserve"> aux besoins d’information d’un groupe de parties prenantes en particulier ou de satisfaire à des obligations d’information particulières et qui est publié en tant que document autonome</w:t>
      </w:r>
      <w:r w:rsidR="00055F55" w:rsidRPr="00850E24">
        <w:rPr>
          <w:rFonts w:ascii="Times New Roman" w:hAnsi="Times New Roman" w:cs="Times New Roman"/>
          <w:lang w:val="fr-CA"/>
        </w:rPr>
        <w:t>.</w:t>
      </w:r>
    </w:p>
    <w:p w14:paraId="3994827D" w14:textId="77777777" w:rsidR="003B3823" w:rsidRPr="00850E24" w:rsidRDefault="003B3823" w:rsidP="00D67C7E">
      <w:pPr>
        <w:jc w:val="both"/>
        <w:rPr>
          <w:rFonts w:ascii="Times New Roman" w:hAnsi="Times New Roman" w:cs="Times New Roman"/>
          <w:b/>
          <w:caps/>
          <w:szCs w:val="24"/>
          <w:u w:val="single"/>
          <w:lang w:val="fr-BE"/>
        </w:rPr>
        <w:sectPr w:rsidR="003B3823" w:rsidRPr="00850E24">
          <w:footerReference w:type="default" r:id="rId11"/>
          <w:pgSz w:w="11906" w:h="16838"/>
          <w:pgMar w:top="1440" w:right="1440" w:bottom="1440" w:left="1440" w:header="708" w:footer="708" w:gutter="0"/>
          <w:cols w:space="708"/>
          <w:docGrid w:linePitch="360"/>
        </w:sectPr>
      </w:pPr>
    </w:p>
    <w:p w14:paraId="3994827E" w14:textId="77777777" w:rsidR="00D67C7E" w:rsidRPr="00850E24" w:rsidRDefault="00D67C7E" w:rsidP="00D67C7E">
      <w:pPr>
        <w:jc w:val="both"/>
        <w:rPr>
          <w:rFonts w:ascii="Times New Roman" w:hAnsi="Times New Roman" w:cs="Times New Roman"/>
          <w:b/>
          <w:caps/>
          <w:sz w:val="24"/>
          <w:szCs w:val="24"/>
          <w:u w:val="single"/>
          <w:lang w:val="fr-BE"/>
        </w:rPr>
      </w:pPr>
      <w:r w:rsidRPr="00850E24">
        <w:rPr>
          <w:rFonts w:ascii="Times New Roman" w:hAnsi="Times New Roman" w:cs="Times New Roman"/>
          <w:b/>
          <w:caps/>
          <w:sz w:val="24"/>
          <w:szCs w:val="24"/>
          <w:u w:val="single"/>
          <w:lang w:val="fr-BE"/>
        </w:rPr>
        <w:lastRenderedPageBreak/>
        <w:t>Exemples concrets</w:t>
      </w:r>
    </w:p>
    <w:tbl>
      <w:tblPr>
        <w:tblStyle w:val="TableGrid"/>
        <w:tblW w:w="0" w:type="auto"/>
        <w:tblLook w:val="04A0" w:firstRow="1" w:lastRow="0" w:firstColumn="1" w:lastColumn="0" w:noHBand="0" w:noVBand="1"/>
      </w:tblPr>
      <w:tblGrid>
        <w:gridCol w:w="1897"/>
        <w:gridCol w:w="2081"/>
        <w:gridCol w:w="2081"/>
        <w:gridCol w:w="2095"/>
        <w:gridCol w:w="1984"/>
        <w:gridCol w:w="1984"/>
      </w:tblGrid>
      <w:tr w:rsidR="00472C3D" w:rsidRPr="00850E24" w14:paraId="39948285" w14:textId="77777777" w:rsidTr="0055511E">
        <w:tc>
          <w:tcPr>
            <w:tcW w:w="1897" w:type="dxa"/>
          </w:tcPr>
          <w:p w14:paraId="3994827F" w14:textId="77777777" w:rsidR="00472C3D" w:rsidRPr="00850E24" w:rsidRDefault="00472C3D" w:rsidP="003B3823">
            <w:pPr>
              <w:jc w:val="both"/>
              <w:rPr>
                <w:rFonts w:ascii="Times New Roman" w:hAnsi="Times New Roman" w:cs="Times New Roman"/>
                <w:sz w:val="24"/>
                <w:szCs w:val="24"/>
                <w:lang w:val="fr-BE"/>
              </w:rPr>
            </w:pPr>
          </w:p>
        </w:tc>
        <w:tc>
          <w:tcPr>
            <w:tcW w:w="2081" w:type="dxa"/>
          </w:tcPr>
          <w:p w14:paraId="39948280" w14:textId="68B6710B"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Rapport de gestion sociétés (art.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5/3:6 CSA) (y compris ou non de la déclaration informations non financières)</w:t>
            </w:r>
          </w:p>
        </w:tc>
        <w:tc>
          <w:tcPr>
            <w:tcW w:w="2081" w:type="dxa"/>
          </w:tcPr>
          <w:p w14:paraId="39948281" w14:textId="77777777" w:rsidR="00472C3D" w:rsidRPr="00850E24" w:rsidRDefault="00472C3D" w:rsidP="003710AC">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Rapport de gestion associations et fondations </w:t>
            </w:r>
            <w:r w:rsidR="003710AC" w:rsidRPr="00850E24">
              <w:rPr>
                <w:rFonts w:ascii="Times New Roman" w:hAnsi="Times New Roman" w:cs="Times New Roman"/>
                <w:sz w:val="24"/>
                <w:szCs w:val="24"/>
                <w:lang w:val="fr-BE"/>
              </w:rPr>
              <w:t xml:space="preserve">(à l’exception des petites) </w:t>
            </w:r>
            <w:r w:rsidRPr="00850E24">
              <w:rPr>
                <w:rFonts w:ascii="Times New Roman" w:hAnsi="Times New Roman" w:cs="Times New Roman"/>
                <w:sz w:val="24"/>
                <w:szCs w:val="24"/>
                <w:lang w:val="fr-BE"/>
              </w:rPr>
              <w:t xml:space="preserve">(art.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48/3:52 CSA)</w:t>
            </w:r>
          </w:p>
        </w:tc>
        <w:tc>
          <w:tcPr>
            <w:tcW w:w="2095" w:type="dxa"/>
          </w:tcPr>
          <w:p w14:paraId="39948282" w14:textId="4F94ACCA"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Rapport de rémunération secteur public (art.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12, §1 CSA) (qui n’est pas repris dans le rapport de gestion)</w:t>
            </w:r>
          </w:p>
        </w:tc>
        <w:tc>
          <w:tcPr>
            <w:tcW w:w="1984" w:type="dxa"/>
          </w:tcPr>
          <w:p w14:paraId="39948283" w14:textId="77777777" w:rsidR="00472C3D" w:rsidRPr="00850E24" w:rsidRDefault="00472C3D" w:rsidP="003710AC">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Rapp</w:t>
            </w:r>
            <w:r w:rsidR="003710AC" w:rsidRPr="00850E24">
              <w:rPr>
                <w:rFonts w:ascii="Times New Roman" w:hAnsi="Times New Roman" w:cs="Times New Roman"/>
                <w:sz w:val="24"/>
                <w:szCs w:val="24"/>
                <w:lang w:val="fr-BE"/>
              </w:rPr>
              <w:t>ort d’activités (rapport moral)</w:t>
            </w:r>
          </w:p>
        </w:tc>
        <w:tc>
          <w:tcPr>
            <w:tcW w:w="1984" w:type="dxa"/>
          </w:tcPr>
          <w:p w14:paraId="39948284"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Déclaration du président reprise dans le rapport annuel</w:t>
            </w:r>
          </w:p>
        </w:tc>
      </w:tr>
      <w:tr w:rsidR="00472C3D" w:rsidRPr="00850E24" w14:paraId="3994828C" w14:textId="77777777" w:rsidTr="0055511E">
        <w:tc>
          <w:tcPr>
            <w:tcW w:w="1897" w:type="dxa"/>
          </w:tcPr>
          <w:p w14:paraId="39948286"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Informations annuelles ?</w:t>
            </w:r>
          </w:p>
        </w:tc>
        <w:tc>
          <w:tcPr>
            <w:tcW w:w="2081" w:type="dxa"/>
          </w:tcPr>
          <w:p w14:paraId="39948287"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81" w:type="dxa"/>
          </w:tcPr>
          <w:p w14:paraId="39948288"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95" w:type="dxa"/>
          </w:tcPr>
          <w:p w14:paraId="39948289"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1984" w:type="dxa"/>
          </w:tcPr>
          <w:p w14:paraId="3994828A"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1984" w:type="dxa"/>
          </w:tcPr>
          <w:p w14:paraId="3994828B"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r>
      <w:tr w:rsidR="00472C3D" w:rsidRPr="00850E24" w14:paraId="39948293" w14:textId="77777777" w:rsidTr="0055511E">
        <w:tc>
          <w:tcPr>
            <w:tcW w:w="1897" w:type="dxa"/>
          </w:tcPr>
          <w:p w14:paraId="3994828D"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Etabli en application de la législation, la réglementation ou la pratique. </w:t>
            </w:r>
          </w:p>
        </w:tc>
        <w:tc>
          <w:tcPr>
            <w:tcW w:w="2081" w:type="dxa"/>
          </w:tcPr>
          <w:p w14:paraId="3994828E" w14:textId="760D48FA"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Oui (art.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5 CSA)</w:t>
            </w:r>
          </w:p>
        </w:tc>
        <w:tc>
          <w:tcPr>
            <w:tcW w:w="2081" w:type="dxa"/>
          </w:tcPr>
          <w:p w14:paraId="3994828F"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Oui (art.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48/3:52 CSA)</w:t>
            </w:r>
          </w:p>
        </w:tc>
        <w:tc>
          <w:tcPr>
            <w:tcW w:w="2095" w:type="dxa"/>
          </w:tcPr>
          <w:p w14:paraId="39948290" w14:textId="2D4421BA"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Oui (art.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12, §1 CSA)</w:t>
            </w:r>
          </w:p>
        </w:tc>
        <w:tc>
          <w:tcPr>
            <w:tcW w:w="1984" w:type="dxa"/>
          </w:tcPr>
          <w:p w14:paraId="39948291" w14:textId="77777777" w:rsidR="00472C3D" w:rsidRPr="00850E24" w:rsidRDefault="00472C3D" w:rsidP="00472C3D">
            <w:pPr>
              <w:jc w:val="center"/>
              <w:rPr>
                <w:rFonts w:ascii="Times New Roman" w:hAnsi="Times New Roman" w:cs="Times New Roman"/>
                <w:sz w:val="24"/>
                <w:szCs w:val="24"/>
                <w:lang w:val="fr-BE"/>
              </w:rPr>
            </w:pPr>
            <w:proofErr w:type="gramStart"/>
            <w:r w:rsidRPr="00850E24">
              <w:rPr>
                <w:rFonts w:ascii="Times New Roman" w:hAnsi="Times New Roman" w:cs="Times New Roman"/>
                <w:sz w:val="24"/>
                <w:szCs w:val="24"/>
                <w:lang w:val="fr-BE"/>
              </w:rPr>
              <w:t>Oui(</w:t>
            </w:r>
            <w:proofErr w:type="gramEnd"/>
            <w:r w:rsidRPr="00850E24">
              <w:rPr>
                <w:rFonts w:ascii="Times New Roman" w:hAnsi="Times New Roman" w:cs="Times New Roman"/>
                <w:sz w:val="24"/>
                <w:szCs w:val="24"/>
                <w:lang w:val="fr-BE"/>
              </w:rPr>
              <w:t>la pratique)</w:t>
            </w:r>
          </w:p>
        </w:tc>
        <w:tc>
          <w:tcPr>
            <w:tcW w:w="1984" w:type="dxa"/>
          </w:tcPr>
          <w:p w14:paraId="39948292"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 (la pratique)</w:t>
            </w:r>
          </w:p>
        </w:tc>
      </w:tr>
      <w:tr w:rsidR="00472C3D" w:rsidRPr="00850E24" w14:paraId="3994829A" w14:textId="77777777" w:rsidTr="0055511E">
        <w:tc>
          <w:tcPr>
            <w:tcW w:w="1897" w:type="dxa"/>
          </w:tcPr>
          <w:p w14:paraId="39948294"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Destiné aux actionnaires ou à des parties prenantes similaires ?</w:t>
            </w:r>
          </w:p>
        </w:tc>
        <w:tc>
          <w:tcPr>
            <w:tcW w:w="2081" w:type="dxa"/>
          </w:tcPr>
          <w:p w14:paraId="39948295"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81" w:type="dxa"/>
          </w:tcPr>
          <w:p w14:paraId="39948296"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95" w:type="dxa"/>
          </w:tcPr>
          <w:p w14:paraId="39948297"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Non (il n’est pas prévu que ce rapport soit mis à la disposition des actionnaires avant la publication par le biais du dépôt – en d’autres termes, le document n’est pas destiné au « grand public » et donc pas </w:t>
            </w:r>
            <w:r w:rsidRPr="00850E24">
              <w:rPr>
                <w:rFonts w:ascii="Times New Roman" w:hAnsi="Times New Roman" w:cs="Times New Roman"/>
                <w:sz w:val="24"/>
                <w:szCs w:val="24"/>
                <w:lang w:val="fr-BE"/>
              </w:rPr>
              <w:lastRenderedPageBreak/>
              <w:t xml:space="preserve">(uniquement) aux actionnaires </w:t>
            </w:r>
            <w:r w:rsidRPr="00850E24">
              <w:rPr>
                <w:rStyle w:val="FootnoteReference"/>
                <w:rFonts w:ascii="Times New Roman" w:hAnsi="Times New Roman" w:cs="Times New Roman"/>
                <w:sz w:val="24"/>
                <w:szCs w:val="24"/>
                <w:lang w:val="fr-BE"/>
              </w:rPr>
              <w:footnoteReference w:id="4"/>
            </w:r>
            <w:r w:rsidRPr="00850E24">
              <w:rPr>
                <w:rFonts w:ascii="Times New Roman" w:hAnsi="Times New Roman" w:cs="Times New Roman"/>
                <w:sz w:val="24"/>
                <w:szCs w:val="24"/>
                <w:lang w:val="fr-BE"/>
              </w:rPr>
              <w:t>)</w:t>
            </w:r>
          </w:p>
        </w:tc>
        <w:tc>
          <w:tcPr>
            <w:tcW w:w="1984" w:type="dxa"/>
          </w:tcPr>
          <w:p w14:paraId="39948298"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lastRenderedPageBreak/>
              <w:t>Oui (la pratique)</w:t>
            </w:r>
          </w:p>
        </w:tc>
        <w:tc>
          <w:tcPr>
            <w:tcW w:w="1984" w:type="dxa"/>
          </w:tcPr>
          <w:p w14:paraId="39948299"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 (la pratique)</w:t>
            </w:r>
          </w:p>
        </w:tc>
      </w:tr>
      <w:tr w:rsidR="00472C3D" w:rsidRPr="00850E24" w14:paraId="399482A1" w14:textId="77777777" w:rsidTr="0055511E">
        <w:tc>
          <w:tcPr>
            <w:tcW w:w="1897" w:type="dxa"/>
          </w:tcPr>
          <w:p w14:paraId="3994829B"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Information sur les activités de l’entité contrôlée, ses résultats financiers et sa situation financière tels que présentés dans les comptes annuels (consolidés) ?</w:t>
            </w:r>
          </w:p>
        </w:tc>
        <w:tc>
          <w:tcPr>
            <w:tcW w:w="2081" w:type="dxa"/>
          </w:tcPr>
          <w:p w14:paraId="3994829C"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81" w:type="dxa"/>
          </w:tcPr>
          <w:p w14:paraId="3994829D"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95" w:type="dxa"/>
          </w:tcPr>
          <w:p w14:paraId="3994829E"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Non (le rapport de rémunération ne consiste pas à fournir des informations complémentaires ni à être lu conjointement avec les comptes annuels)</w:t>
            </w:r>
          </w:p>
        </w:tc>
        <w:tc>
          <w:tcPr>
            <w:tcW w:w="1984" w:type="dxa"/>
          </w:tcPr>
          <w:p w14:paraId="3994829F"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1984" w:type="dxa"/>
          </w:tcPr>
          <w:p w14:paraId="399482A0"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r>
      <w:tr w:rsidR="00472C3D" w:rsidRPr="00850E24" w14:paraId="399482A8" w14:textId="77777777" w:rsidTr="0055511E">
        <w:tc>
          <w:tcPr>
            <w:tcW w:w="1897" w:type="dxa"/>
          </w:tcPr>
          <w:p w14:paraId="399482A2"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Accompagne les comptes annuels (consolidés) et le rapport du commissaire ?</w:t>
            </w:r>
          </w:p>
        </w:tc>
        <w:tc>
          <w:tcPr>
            <w:tcW w:w="2081" w:type="dxa"/>
          </w:tcPr>
          <w:p w14:paraId="399482A3"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81" w:type="dxa"/>
          </w:tcPr>
          <w:p w14:paraId="399482A4"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2095" w:type="dxa"/>
          </w:tcPr>
          <w:p w14:paraId="399482A5"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Non</w:t>
            </w:r>
          </w:p>
        </w:tc>
        <w:tc>
          <w:tcPr>
            <w:tcW w:w="1984" w:type="dxa"/>
          </w:tcPr>
          <w:p w14:paraId="399482A6"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w:t>
            </w:r>
          </w:p>
        </w:tc>
        <w:tc>
          <w:tcPr>
            <w:tcW w:w="1984" w:type="dxa"/>
          </w:tcPr>
          <w:p w14:paraId="399482A7"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 (repris dans le rapport annuel)</w:t>
            </w:r>
          </w:p>
        </w:tc>
      </w:tr>
      <w:tr w:rsidR="00472C3D" w:rsidRPr="00850E24" w14:paraId="399482AF" w14:textId="77777777" w:rsidTr="0055511E">
        <w:tc>
          <w:tcPr>
            <w:tcW w:w="1897" w:type="dxa"/>
          </w:tcPr>
          <w:p w14:paraId="399482A9"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Ne répond pas aux besoins d’information d’un groupe de parties prenantes particulier et n’est pas publié en tant que document autonome ? </w:t>
            </w:r>
          </w:p>
        </w:tc>
        <w:tc>
          <w:tcPr>
            <w:tcW w:w="2081" w:type="dxa"/>
          </w:tcPr>
          <w:p w14:paraId="399482AA"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Non</w:t>
            </w:r>
          </w:p>
        </w:tc>
        <w:tc>
          <w:tcPr>
            <w:tcW w:w="2081" w:type="dxa"/>
          </w:tcPr>
          <w:p w14:paraId="399482AB"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Non</w:t>
            </w:r>
          </w:p>
        </w:tc>
        <w:tc>
          <w:tcPr>
            <w:tcW w:w="2095" w:type="dxa"/>
          </w:tcPr>
          <w:p w14:paraId="399482AC"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Oui (le rapport de rémunération a un objectif spécifique et est publié de manière séparé)</w:t>
            </w:r>
          </w:p>
        </w:tc>
        <w:tc>
          <w:tcPr>
            <w:tcW w:w="1984" w:type="dxa"/>
          </w:tcPr>
          <w:p w14:paraId="399482AD"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Non</w:t>
            </w:r>
          </w:p>
        </w:tc>
        <w:tc>
          <w:tcPr>
            <w:tcW w:w="1984" w:type="dxa"/>
          </w:tcPr>
          <w:p w14:paraId="399482AE" w14:textId="77777777" w:rsidR="00472C3D" w:rsidRPr="00850E24" w:rsidRDefault="00472C3D" w:rsidP="00472C3D">
            <w:pPr>
              <w:jc w:val="center"/>
              <w:rPr>
                <w:rFonts w:ascii="Times New Roman" w:hAnsi="Times New Roman" w:cs="Times New Roman"/>
                <w:sz w:val="24"/>
                <w:szCs w:val="24"/>
                <w:lang w:val="fr-BE"/>
              </w:rPr>
            </w:pPr>
            <w:r w:rsidRPr="00850E24">
              <w:rPr>
                <w:rFonts w:ascii="Times New Roman" w:hAnsi="Times New Roman" w:cs="Times New Roman"/>
                <w:sz w:val="24"/>
                <w:szCs w:val="24"/>
                <w:lang w:val="fr-BE"/>
              </w:rPr>
              <w:t>Non (repris dans le rapport annuel qui fait partie, dans sa totalité, des « autres informations »)</w:t>
            </w:r>
          </w:p>
        </w:tc>
      </w:tr>
      <w:tr w:rsidR="00472C3D" w:rsidRPr="00850E24" w14:paraId="399482B6" w14:textId="77777777" w:rsidTr="00D8783A">
        <w:tc>
          <w:tcPr>
            <w:tcW w:w="1897" w:type="dxa"/>
            <w:tcBorders>
              <w:bottom w:val="single" w:sz="4" w:space="0" w:color="auto"/>
            </w:tcBorders>
          </w:tcPr>
          <w:p w14:paraId="399482B0"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lastRenderedPageBreak/>
              <w:t>Conclusion</w:t>
            </w:r>
          </w:p>
        </w:tc>
        <w:tc>
          <w:tcPr>
            <w:tcW w:w="2081" w:type="dxa"/>
            <w:tcBorders>
              <w:bottom w:val="single" w:sz="4" w:space="0" w:color="auto"/>
            </w:tcBorders>
          </w:tcPr>
          <w:p w14:paraId="399482B1"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Toutes les conditions sont remplies</w:t>
            </w:r>
          </w:p>
        </w:tc>
        <w:tc>
          <w:tcPr>
            <w:tcW w:w="2081" w:type="dxa"/>
            <w:tcBorders>
              <w:bottom w:val="single" w:sz="4" w:space="0" w:color="auto"/>
            </w:tcBorders>
          </w:tcPr>
          <w:p w14:paraId="399482B2"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Toutes les conditions sont remplies</w:t>
            </w:r>
          </w:p>
        </w:tc>
        <w:tc>
          <w:tcPr>
            <w:tcW w:w="2095" w:type="dxa"/>
            <w:tcBorders>
              <w:bottom w:val="single" w:sz="4" w:space="0" w:color="auto"/>
            </w:tcBorders>
          </w:tcPr>
          <w:p w14:paraId="399482B3"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Pas toutes les conditions sont remplies</w:t>
            </w:r>
          </w:p>
        </w:tc>
        <w:tc>
          <w:tcPr>
            <w:tcW w:w="1984" w:type="dxa"/>
            <w:tcBorders>
              <w:bottom w:val="single" w:sz="4" w:space="0" w:color="auto"/>
            </w:tcBorders>
          </w:tcPr>
          <w:p w14:paraId="399482B4" w14:textId="77777777" w:rsidR="00472C3D" w:rsidRPr="00850E24" w:rsidRDefault="00472C3D" w:rsidP="00472C3D">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Toutes les conditions sont remplies</w:t>
            </w:r>
          </w:p>
        </w:tc>
        <w:tc>
          <w:tcPr>
            <w:tcW w:w="1984" w:type="dxa"/>
            <w:tcBorders>
              <w:bottom w:val="single" w:sz="4" w:space="0" w:color="auto"/>
            </w:tcBorders>
          </w:tcPr>
          <w:p w14:paraId="399482B5" w14:textId="77777777" w:rsidR="00472C3D" w:rsidRPr="00850E24" w:rsidRDefault="00472C3D"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Toutes les conditions sont remplies</w:t>
            </w:r>
          </w:p>
        </w:tc>
      </w:tr>
      <w:tr w:rsidR="00FC4A74" w:rsidRPr="00850E24" w14:paraId="399482DE" w14:textId="77777777" w:rsidTr="0014289C">
        <w:tc>
          <w:tcPr>
            <w:tcW w:w="1897" w:type="dxa"/>
            <w:vMerge w:val="restart"/>
          </w:tcPr>
          <w:p w14:paraId="399482B7" w14:textId="77777777" w:rsidR="00FC4A74" w:rsidRPr="00850E24" w:rsidRDefault="00FC4A74" w:rsidP="00D8783A">
            <w:pPr>
              <w:spacing w:before="120" w:after="12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Base légale ou réglementaire pour les procédures de vérification</w:t>
            </w:r>
          </w:p>
        </w:tc>
        <w:tc>
          <w:tcPr>
            <w:tcW w:w="2081" w:type="dxa"/>
            <w:tcBorders>
              <w:bottom w:val="nil"/>
            </w:tcBorders>
          </w:tcPr>
          <w:p w14:paraId="399482BC" w14:textId="7F2DCE2B"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5/3:6 CSA</w:t>
            </w:r>
          </w:p>
        </w:tc>
        <w:tc>
          <w:tcPr>
            <w:tcW w:w="2081" w:type="dxa"/>
            <w:tcBorders>
              <w:bottom w:val="nil"/>
            </w:tcBorders>
          </w:tcPr>
          <w:p w14:paraId="399482C1" w14:textId="158E522D" w:rsidR="00FC4A74" w:rsidRPr="00850E24" w:rsidRDefault="00FC4A74" w:rsidP="00D8783A">
            <w:pPr>
              <w:pStyle w:val="ListParagraph"/>
              <w:numPr>
                <w:ilvl w:val="0"/>
                <w:numId w:val="2"/>
              </w:numPr>
              <w:spacing w:before="120" w:after="120"/>
              <w:ind w:left="403"/>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48/ 3:52 CSA</w:t>
            </w:r>
          </w:p>
        </w:tc>
        <w:tc>
          <w:tcPr>
            <w:tcW w:w="2095" w:type="dxa"/>
            <w:tcBorders>
              <w:bottom w:val="nil"/>
            </w:tcBorders>
          </w:tcPr>
          <w:p w14:paraId="399482CD" w14:textId="275FC37F"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bottom w:val="nil"/>
            </w:tcBorders>
          </w:tcPr>
          <w:p w14:paraId="399482D5" w14:textId="76490335"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bottom w:val="nil"/>
            </w:tcBorders>
          </w:tcPr>
          <w:p w14:paraId="399482DD" w14:textId="38DA0DB7" w:rsidR="00FC4A74" w:rsidRPr="00850E24" w:rsidRDefault="00FC4A74" w:rsidP="00D8783A">
            <w:pPr>
              <w:spacing w:before="120" w:after="120"/>
              <w:jc w:val="both"/>
              <w:rPr>
                <w:rFonts w:ascii="Times New Roman" w:hAnsi="Times New Roman" w:cs="Times New Roman"/>
                <w:sz w:val="24"/>
                <w:szCs w:val="24"/>
                <w:lang w:val="fr-BE"/>
              </w:rPr>
            </w:pPr>
          </w:p>
        </w:tc>
      </w:tr>
      <w:tr w:rsidR="00FC4A74" w:rsidRPr="00850E24" w14:paraId="7A29AF51" w14:textId="77777777" w:rsidTr="0014289C">
        <w:tc>
          <w:tcPr>
            <w:tcW w:w="1897" w:type="dxa"/>
            <w:vMerge/>
          </w:tcPr>
          <w:p w14:paraId="337085A0"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2081" w:type="dxa"/>
            <w:tcBorders>
              <w:top w:val="nil"/>
              <w:bottom w:val="nil"/>
            </w:tcBorders>
          </w:tcPr>
          <w:p w14:paraId="7EC3153A" w14:textId="7E844E93"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75 CSA (concordance avec les comptes annuels (consolidés) et exhaustivité)</w:t>
            </w:r>
          </w:p>
        </w:tc>
        <w:tc>
          <w:tcPr>
            <w:tcW w:w="2081" w:type="dxa"/>
            <w:tcBorders>
              <w:top w:val="nil"/>
              <w:bottom w:val="nil"/>
            </w:tcBorders>
          </w:tcPr>
          <w:p w14:paraId="1D124490" w14:textId="5CC50374"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Art. </w:t>
            </w:r>
            <w:proofErr w:type="gramStart"/>
            <w:r w:rsidRPr="00850E24">
              <w:rPr>
                <w:rFonts w:ascii="Times New Roman" w:hAnsi="Times New Roman" w:cs="Times New Roman"/>
                <w:sz w:val="24"/>
                <w:szCs w:val="24"/>
                <w:lang w:val="fr-BE"/>
              </w:rPr>
              <w:t>3:</w:t>
            </w:r>
            <w:proofErr w:type="gramEnd"/>
            <w:r w:rsidRPr="00850E24">
              <w:rPr>
                <w:rFonts w:ascii="Times New Roman" w:hAnsi="Times New Roman" w:cs="Times New Roman"/>
                <w:sz w:val="24"/>
                <w:szCs w:val="24"/>
                <w:lang w:val="fr-BE"/>
              </w:rPr>
              <w:t>75 CSA (concordance avec les comptes annuels (consolidés) et exhaustivité)</w:t>
            </w:r>
          </w:p>
        </w:tc>
        <w:tc>
          <w:tcPr>
            <w:tcW w:w="2095" w:type="dxa"/>
            <w:tcBorders>
              <w:top w:val="nil"/>
              <w:bottom w:val="nil"/>
            </w:tcBorders>
          </w:tcPr>
          <w:p w14:paraId="60DD10C4"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top w:val="nil"/>
              <w:bottom w:val="nil"/>
            </w:tcBorders>
          </w:tcPr>
          <w:p w14:paraId="1BD921D9"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top w:val="nil"/>
              <w:bottom w:val="nil"/>
            </w:tcBorders>
          </w:tcPr>
          <w:p w14:paraId="73F431DC" w14:textId="77777777" w:rsidR="00FC4A74" w:rsidRPr="00850E24" w:rsidRDefault="00FC4A74" w:rsidP="00D8783A">
            <w:pPr>
              <w:spacing w:before="120" w:after="120"/>
              <w:jc w:val="both"/>
              <w:rPr>
                <w:rFonts w:ascii="Times New Roman" w:hAnsi="Times New Roman" w:cs="Times New Roman"/>
                <w:sz w:val="24"/>
                <w:szCs w:val="24"/>
                <w:lang w:val="fr-BE"/>
              </w:rPr>
            </w:pPr>
          </w:p>
        </w:tc>
      </w:tr>
      <w:tr w:rsidR="00FC4A74" w:rsidRPr="00850E24" w14:paraId="2CA6C7CB" w14:textId="77777777" w:rsidTr="0014289C">
        <w:tc>
          <w:tcPr>
            <w:tcW w:w="1897" w:type="dxa"/>
            <w:vMerge/>
          </w:tcPr>
          <w:p w14:paraId="55F6B032"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2081" w:type="dxa"/>
            <w:tcBorders>
              <w:top w:val="nil"/>
              <w:bottom w:val="nil"/>
            </w:tcBorders>
          </w:tcPr>
          <w:p w14:paraId="73D25B55" w14:textId="797C7A73"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ISA 720 (Révisée) (anomalie significative)</w:t>
            </w:r>
          </w:p>
        </w:tc>
        <w:tc>
          <w:tcPr>
            <w:tcW w:w="2081" w:type="dxa"/>
            <w:tcBorders>
              <w:top w:val="nil"/>
              <w:bottom w:val="nil"/>
            </w:tcBorders>
          </w:tcPr>
          <w:p w14:paraId="6806BEAB" w14:textId="6B75328D"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ISA 720 (Révisée) (anomalie significative)</w:t>
            </w:r>
          </w:p>
        </w:tc>
        <w:tc>
          <w:tcPr>
            <w:tcW w:w="2095" w:type="dxa"/>
            <w:tcBorders>
              <w:top w:val="nil"/>
              <w:bottom w:val="nil"/>
            </w:tcBorders>
          </w:tcPr>
          <w:p w14:paraId="65CD8A73"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top w:val="nil"/>
              <w:bottom w:val="nil"/>
            </w:tcBorders>
          </w:tcPr>
          <w:p w14:paraId="19453FF0" w14:textId="154B8832" w:rsidR="00FC4A74" w:rsidRPr="00850E24" w:rsidRDefault="00FC4A74" w:rsidP="00D8783A">
            <w:pPr>
              <w:spacing w:before="120" w:after="12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ISA 720 (Révisée) (anomalie significative)</w:t>
            </w:r>
          </w:p>
        </w:tc>
        <w:tc>
          <w:tcPr>
            <w:tcW w:w="1984" w:type="dxa"/>
            <w:tcBorders>
              <w:top w:val="nil"/>
              <w:bottom w:val="nil"/>
            </w:tcBorders>
          </w:tcPr>
          <w:p w14:paraId="10B28BB8" w14:textId="204CFE1F" w:rsidR="00FC4A74" w:rsidRPr="00850E24" w:rsidRDefault="00FC4A74" w:rsidP="00D8783A">
            <w:pPr>
              <w:spacing w:before="120" w:after="12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ISA 720 (Révisée) (anomalie significative)</w:t>
            </w:r>
          </w:p>
        </w:tc>
      </w:tr>
      <w:tr w:rsidR="00FC4A74" w:rsidRPr="00850E24" w14:paraId="7217C25D" w14:textId="77777777" w:rsidTr="0014289C">
        <w:tc>
          <w:tcPr>
            <w:tcW w:w="1897" w:type="dxa"/>
            <w:vMerge/>
          </w:tcPr>
          <w:p w14:paraId="5859616C"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2081" w:type="dxa"/>
            <w:tcBorders>
              <w:top w:val="nil"/>
              <w:bottom w:val="nil"/>
            </w:tcBorders>
          </w:tcPr>
          <w:p w14:paraId="77FB56A1" w14:textId="0AFC19E1"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Norme complémentaire (version révisée 2020)</w:t>
            </w:r>
          </w:p>
        </w:tc>
        <w:tc>
          <w:tcPr>
            <w:tcW w:w="2081" w:type="dxa"/>
            <w:tcBorders>
              <w:top w:val="nil"/>
              <w:bottom w:val="nil"/>
            </w:tcBorders>
          </w:tcPr>
          <w:p w14:paraId="00375BFF" w14:textId="2AA1E453"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Norme complémentaire (version révisée 2020)</w:t>
            </w:r>
          </w:p>
        </w:tc>
        <w:tc>
          <w:tcPr>
            <w:tcW w:w="2095" w:type="dxa"/>
            <w:tcBorders>
              <w:top w:val="nil"/>
              <w:bottom w:val="nil"/>
            </w:tcBorders>
          </w:tcPr>
          <w:p w14:paraId="66D102B4"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top w:val="nil"/>
              <w:bottom w:val="nil"/>
            </w:tcBorders>
          </w:tcPr>
          <w:p w14:paraId="7B618EA7"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top w:val="nil"/>
              <w:bottom w:val="nil"/>
            </w:tcBorders>
          </w:tcPr>
          <w:p w14:paraId="68AA8E08" w14:textId="77777777" w:rsidR="00FC4A74" w:rsidRPr="00850E24" w:rsidRDefault="00FC4A74" w:rsidP="00D8783A">
            <w:pPr>
              <w:spacing w:before="120" w:after="120"/>
              <w:jc w:val="both"/>
              <w:rPr>
                <w:rFonts w:ascii="Times New Roman" w:hAnsi="Times New Roman" w:cs="Times New Roman"/>
                <w:sz w:val="24"/>
                <w:szCs w:val="24"/>
                <w:lang w:val="fr-BE"/>
              </w:rPr>
            </w:pPr>
          </w:p>
        </w:tc>
      </w:tr>
      <w:tr w:rsidR="00FC4A74" w:rsidRPr="00850E24" w14:paraId="56437632" w14:textId="77777777" w:rsidTr="0014289C">
        <w:tc>
          <w:tcPr>
            <w:tcW w:w="1897" w:type="dxa"/>
            <w:vMerge/>
          </w:tcPr>
          <w:p w14:paraId="1CF8DA53"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2081" w:type="dxa"/>
            <w:tcBorders>
              <w:top w:val="nil"/>
            </w:tcBorders>
          </w:tcPr>
          <w:p w14:paraId="11DC7002" w14:textId="3757BE8A" w:rsidR="00FC4A74" w:rsidRPr="00850E24" w:rsidRDefault="00FC4A74" w:rsidP="00D8783A">
            <w:pPr>
              <w:pStyle w:val="ListParagraph"/>
              <w:numPr>
                <w:ilvl w:val="0"/>
                <w:numId w:val="2"/>
              </w:numPr>
              <w:spacing w:before="120" w:after="120"/>
              <w:ind w:left="319"/>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Vérification générale du respect du CSA (e.a. le respect des dispositions relatives au dépôt et le délai </w:t>
            </w:r>
            <w:r w:rsidRPr="00850E24">
              <w:rPr>
                <w:rFonts w:ascii="Times New Roman" w:hAnsi="Times New Roman" w:cs="Times New Roman"/>
                <w:sz w:val="24"/>
                <w:szCs w:val="24"/>
                <w:lang w:val="fr-BE"/>
              </w:rPr>
              <w:lastRenderedPageBreak/>
              <w:t>du dépôt) et des statuts</w:t>
            </w:r>
          </w:p>
        </w:tc>
        <w:tc>
          <w:tcPr>
            <w:tcW w:w="2081" w:type="dxa"/>
            <w:tcBorders>
              <w:top w:val="nil"/>
            </w:tcBorders>
          </w:tcPr>
          <w:p w14:paraId="50C1A5A3" w14:textId="3569D4C4" w:rsidR="00FC4A74" w:rsidRPr="00850E24" w:rsidRDefault="00FC4A74" w:rsidP="00D8783A">
            <w:pPr>
              <w:pStyle w:val="ListParagraph"/>
              <w:numPr>
                <w:ilvl w:val="0"/>
                <w:numId w:val="2"/>
              </w:numPr>
              <w:spacing w:before="120" w:after="120"/>
              <w:ind w:left="403"/>
              <w:contextualSpacing w:val="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lastRenderedPageBreak/>
              <w:t xml:space="preserve">Vérification générale du respect du CSA (e.a. le respect des dispositions relatives au dépôt et le </w:t>
            </w:r>
            <w:r w:rsidRPr="00850E24">
              <w:rPr>
                <w:rFonts w:ascii="Times New Roman" w:hAnsi="Times New Roman" w:cs="Times New Roman"/>
                <w:sz w:val="24"/>
                <w:szCs w:val="24"/>
                <w:lang w:val="fr-BE"/>
              </w:rPr>
              <w:lastRenderedPageBreak/>
              <w:t>délai du dépôt) et des statuts</w:t>
            </w:r>
          </w:p>
        </w:tc>
        <w:tc>
          <w:tcPr>
            <w:tcW w:w="2095" w:type="dxa"/>
            <w:tcBorders>
              <w:top w:val="nil"/>
            </w:tcBorders>
          </w:tcPr>
          <w:p w14:paraId="2FFC3ECC" w14:textId="1FDBB708" w:rsidR="00FC4A74" w:rsidRPr="00850E24" w:rsidRDefault="00FC4A74" w:rsidP="00D8783A">
            <w:pPr>
              <w:spacing w:before="120" w:after="120"/>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lastRenderedPageBreak/>
              <w:t xml:space="preserve">Vérification générale du respect du CSA (e.a. l’établissement et le respect des dispositions relatives au dépôt </w:t>
            </w:r>
            <w:r w:rsidRPr="00850E24">
              <w:rPr>
                <w:rFonts w:ascii="Times New Roman" w:hAnsi="Times New Roman" w:cs="Times New Roman"/>
                <w:sz w:val="24"/>
                <w:szCs w:val="24"/>
                <w:lang w:val="fr-BE"/>
              </w:rPr>
              <w:lastRenderedPageBreak/>
              <w:t>et le délai du dépôt) et des statuts</w:t>
            </w:r>
          </w:p>
        </w:tc>
        <w:tc>
          <w:tcPr>
            <w:tcW w:w="1984" w:type="dxa"/>
            <w:tcBorders>
              <w:top w:val="nil"/>
            </w:tcBorders>
          </w:tcPr>
          <w:p w14:paraId="7B01F71D" w14:textId="77777777" w:rsidR="00FC4A74" w:rsidRPr="00850E24" w:rsidRDefault="00FC4A74" w:rsidP="00D8783A">
            <w:pPr>
              <w:spacing w:before="120" w:after="120"/>
              <w:jc w:val="both"/>
              <w:rPr>
                <w:rFonts w:ascii="Times New Roman" w:hAnsi="Times New Roman" w:cs="Times New Roman"/>
                <w:sz w:val="24"/>
                <w:szCs w:val="24"/>
                <w:lang w:val="fr-BE"/>
              </w:rPr>
            </w:pPr>
          </w:p>
        </w:tc>
        <w:tc>
          <w:tcPr>
            <w:tcW w:w="1984" w:type="dxa"/>
            <w:tcBorders>
              <w:top w:val="nil"/>
            </w:tcBorders>
          </w:tcPr>
          <w:p w14:paraId="15722007" w14:textId="77777777" w:rsidR="00FC4A74" w:rsidRPr="00850E24" w:rsidRDefault="00FC4A74" w:rsidP="00D8783A">
            <w:pPr>
              <w:spacing w:before="120" w:after="120"/>
              <w:jc w:val="both"/>
              <w:rPr>
                <w:rFonts w:ascii="Times New Roman" w:hAnsi="Times New Roman" w:cs="Times New Roman"/>
                <w:sz w:val="24"/>
                <w:szCs w:val="24"/>
                <w:lang w:val="fr-BE"/>
              </w:rPr>
            </w:pPr>
          </w:p>
        </w:tc>
      </w:tr>
    </w:tbl>
    <w:p w14:paraId="399482DF" w14:textId="77777777" w:rsidR="003B3823" w:rsidRPr="00850E24" w:rsidRDefault="003B3823" w:rsidP="00D67C7E">
      <w:pPr>
        <w:jc w:val="center"/>
        <w:rPr>
          <w:rFonts w:ascii="Times New Roman" w:hAnsi="Times New Roman" w:cs="Times New Roman"/>
          <w:b/>
          <w:lang w:val="fr-CA"/>
        </w:rPr>
        <w:sectPr w:rsidR="003B3823" w:rsidRPr="00850E24" w:rsidSect="003B3823">
          <w:pgSz w:w="16838" w:h="11906" w:orient="landscape"/>
          <w:pgMar w:top="1440" w:right="1440" w:bottom="1440" w:left="1440" w:header="708" w:footer="708" w:gutter="0"/>
          <w:cols w:space="708"/>
          <w:docGrid w:linePitch="360"/>
        </w:sectPr>
      </w:pPr>
      <w:bookmarkStart w:id="0" w:name="_Toc23169752"/>
      <w:bookmarkStart w:id="1" w:name="_Toc27063196"/>
    </w:p>
    <w:p w14:paraId="399482E0" w14:textId="77777777" w:rsidR="00D67C7E" w:rsidRPr="00850E24" w:rsidRDefault="00D67C7E" w:rsidP="00D67C7E">
      <w:pPr>
        <w:jc w:val="center"/>
        <w:rPr>
          <w:rFonts w:ascii="Times New Roman" w:hAnsi="Times New Roman" w:cs="Times New Roman"/>
          <w:b/>
          <w:lang w:val="fr-CA"/>
        </w:rPr>
      </w:pPr>
      <w:r w:rsidRPr="00850E24">
        <w:rPr>
          <w:rFonts w:ascii="Times New Roman" w:hAnsi="Times New Roman" w:cs="Times New Roman"/>
          <w:b/>
          <w:lang w:val="fr-CA"/>
        </w:rPr>
        <w:lastRenderedPageBreak/>
        <w:t>ANNEXE 1 DE LA NORME COMPLEMENTAIRE (VERSION REVISEE 2020) – ILLUSTRATION SCHEMATIQUE RELATIVE AU RAPPORT DE GESTION</w:t>
      </w:r>
      <w:bookmarkEnd w:id="0"/>
      <w:bookmarkEnd w:id="1"/>
    </w:p>
    <w:p w14:paraId="54443F60" w14:textId="77777777" w:rsidR="00E75837" w:rsidRPr="00850E24" w:rsidRDefault="00E75837" w:rsidP="00E75837">
      <w:pPr>
        <w:keepLines/>
        <w:jc w:val="both"/>
        <w:rPr>
          <w:rFonts w:ascii="Times New Roman" w:hAnsi="Times New Roman" w:cs="Times New Roman"/>
          <w:i/>
          <w:u w:val="single"/>
          <w:lang w:val="fr-CA"/>
        </w:rPr>
      </w:pPr>
      <w:r w:rsidRPr="00850E24">
        <w:rPr>
          <w:rFonts w:ascii="Times New Roman" w:hAnsi="Times New Roman" w:cs="Times New Roman"/>
          <w:i/>
          <w:u w:val="single"/>
          <w:lang w:val="fr-CA"/>
        </w:rPr>
        <w:t>Procédures de vérification (voir par. 38)</w:t>
      </w:r>
    </w:p>
    <w:tbl>
      <w:tblPr>
        <w:tblStyle w:val="TableGrid"/>
        <w:tblW w:w="0" w:type="auto"/>
        <w:tblLook w:val="04A0" w:firstRow="1" w:lastRow="0" w:firstColumn="1" w:lastColumn="0" w:noHBand="0" w:noVBand="1"/>
      </w:tblPr>
      <w:tblGrid>
        <w:gridCol w:w="2998"/>
        <w:gridCol w:w="2998"/>
        <w:gridCol w:w="2998"/>
      </w:tblGrid>
      <w:tr w:rsidR="00E75837" w:rsidRPr="00850E24" w14:paraId="1EFBCD59" w14:textId="77777777" w:rsidTr="00C003BC">
        <w:tc>
          <w:tcPr>
            <w:tcW w:w="2998" w:type="dxa"/>
            <w:tcBorders>
              <w:top w:val="double" w:sz="4" w:space="0" w:color="auto"/>
              <w:left w:val="double" w:sz="4" w:space="0" w:color="auto"/>
              <w:bottom w:val="double" w:sz="4" w:space="0" w:color="auto"/>
            </w:tcBorders>
            <w:shd w:val="clear" w:color="auto" w:fill="000000" w:themeFill="text1"/>
          </w:tcPr>
          <w:p w14:paraId="594029C1" w14:textId="77777777" w:rsidR="00E75837" w:rsidRPr="00850E24" w:rsidRDefault="00E75837" w:rsidP="00C003BC">
            <w:pPr>
              <w:keepLines/>
              <w:rPr>
                <w:rFonts w:ascii="Times New Roman" w:hAnsi="Times New Roman" w:cs="Times New Roman"/>
                <w:b/>
                <w:lang w:val="fr-CA"/>
              </w:rPr>
            </w:pPr>
            <w:r w:rsidRPr="00850E24">
              <w:rPr>
                <w:rFonts w:ascii="Times New Roman" w:hAnsi="Times New Roman" w:cs="Times New Roman"/>
                <w:b/>
                <w:lang w:val="fr-CA"/>
              </w:rPr>
              <w:t>Procédures à effectuer</w:t>
            </w:r>
          </w:p>
        </w:tc>
        <w:tc>
          <w:tcPr>
            <w:tcW w:w="2998" w:type="dxa"/>
            <w:tcBorders>
              <w:top w:val="double" w:sz="4" w:space="0" w:color="auto"/>
              <w:bottom w:val="double" w:sz="4" w:space="0" w:color="auto"/>
            </w:tcBorders>
            <w:shd w:val="clear" w:color="auto" w:fill="000000" w:themeFill="text1"/>
          </w:tcPr>
          <w:p w14:paraId="0D8EAFD3" w14:textId="77777777" w:rsidR="00E75837" w:rsidRPr="00850E24" w:rsidRDefault="00E75837" w:rsidP="00C003BC">
            <w:pPr>
              <w:keepLines/>
              <w:jc w:val="both"/>
              <w:rPr>
                <w:rFonts w:ascii="Times New Roman" w:hAnsi="Times New Roman" w:cs="Times New Roman"/>
                <w:b/>
                <w:lang w:val="fr-CA"/>
              </w:rPr>
            </w:pPr>
            <w:r w:rsidRPr="00850E24">
              <w:rPr>
                <w:rFonts w:ascii="Times New Roman" w:hAnsi="Times New Roman" w:cs="Times New Roman"/>
                <w:b/>
                <w:lang w:val="fr-CA"/>
              </w:rPr>
              <w:t xml:space="preserve">Base légale </w:t>
            </w:r>
            <w:proofErr w:type="spellStart"/>
            <w:r w:rsidRPr="00850E24">
              <w:rPr>
                <w:rFonts w:ascii="Times New Roman" w:hAnsi="Times New Roman" w:cs="Times New Roman"/>
                <w:b/>
                <w:lang w:val="fr-BE"/>
              </w:rPr>
              <w:t>societes</w:t>
            </w:r>
            <w:proofErr w:type="spellEnd"/>
            <w:r w:rsidRPr="00850E24">
              <w:rPr>
                <w:rFonts w:ascii="Times New Roman" w:hAnsi="Times New Roman" w:cs="Times New Roman"/>
                <w:b/>
                <w:lang w:val="fr-BE"/>
              </w:rPr>
              <w:t xml:space="preserve"> et associations</w:t>
            </w:r>
          </w:p>
        </w:tc>
        <w:tc>
          <w:tcPr>
            <w:tcW w:w="2998" w:type="dxa"/>
            <w:tcBorders>
              <w:top w:val="double" w:sz="4" w:space="0" w:color="auto"/>
              <w:bottom w:val="double" w:sz="4" w:space="0" w:color="auto"/>
            </w:tcBorders>
            <w:shd w:val="clear" w:color="auto" w:fill="000000" w:themeFill="text1"/>
          </w:tcPr>
          <w:p w14:paraId="35FBFBE8" w14:textId="77777777" w:rsidR="00E75837" w:rsidRPr="00850E24" w:rsidRDefault="00E75837" w:rsidP="00C003BC">
            <w:pPr>
              <w:keepLines/>
              <w:jc w:val="both"/>
              <w:rPr>
                <w:rFonts w:ascii="Times New Roman" w:hAnsi="Times New Roman" w:cs="Times New Roman"/>
                <w:b/>
                <w:lang w:val="fr-CA"/>
              </w:rPr>
            </w:pPr>
            <w:r w:rsidRPr="00850E24">
              <w:rPr>
                <w:rFonts w:ascii="Times New Roman" w:hAnsi="Times New Roman" w:cs="Times New Roman"/>
                <w:b/>
                <w:lang w:val="fr-BE"/>
              </w:rPr>
              <w:t xml:space="preserve">Applicable au rapport de gestion </w:t>
            </w:r>
            <w:proofErr w:type="spellStart"/>
            <w:r w:rsidRPr="00850E24">
              <w:rPr>
                <w:rFonts w:ascii="Times New Roman" w:hAnsi="Times New Roman" w:cs="Times New Roman"/>
                <w:b/>
                <w:lang w:val="fr-BE"/>
              </w:rPr>
              <w:t>etabli</w:t>
            </w:r>
            <w:proofErr w:type="spellEnd"/>
            <w:r w:rsidRPr="00850E24">
              <w:rPr>
                <w:rFonts w:ascii="Times New Roman" w:hAnsi="Times New Roman" w:cs="Times New Roman"/>
                <w:b/>
                <w:lang w:val="fr-BE"/>
              </w:rPr>
              <w:t xml:space="preserve"> sur une base volontaire</w:t>
            </w:r>
          </w:p>
        </w:tc>
      </w:tr>
      <w:tr w:rsidR="00E75837" w:rsidRPr="00850E24" w14:paraId="6AB0C430" w14:textId="77777777" w:rsidTr="00FC4A74">
        <w:tc>
          <w:tcPr>
            <w:tcW w:w="2998" w:type="dxa"/>
            <w:tcBorders>
              <w:top w:val="double" w:sz="4" w:space="0" w:color="auto"/>
              <w:left w:val="single" w:sz="12" w:space="0" w:color="auto"/>
              <w:bottom w:val="single" w:sz="12" w:space="0" w:color="auto"/>
              <w:right w:val="dotted" w:sz="4" w:space="0" w:color="auto"/>
            </w:tcBorders>
            <w:shd w:val="clear" w:color="auto" w:fill="E7E6E6" w:themeFill="background2"/>
          </w:tcPr>
          <w:p w14:paraId="3D018F8C" w14:textId="77777777" w:rsidR="00E75837" w:rsidRPr="00850E24" w:rsidRDefault="00E75837" w:rsidP="00C003BC">
            <w:pPr>
              <w:keepLines/>
              <w:rPr>
                <w:rFonts w:ascii="Times New Roman" w:hAnsi="Times New Roman" w:cs="Times New Roman"/>
                <w:lang w:val="fr-CA"/>
              </w:rPr>
            </w:pPr>
            <w:r w:rsidRPr="00850E24">
              <w:rPr>
                <w:rFonts w:ascii="Times New Roman" w:hAnsi="Times New Roman" w:cs="Times New Roman"/>
                <w:lang w:val="fr-CA"/>
              </w:rPr>
              <w:t>Vérification que l’absence éventuelle d’un rapport de gestion est conforme au CSA</w:t>
            </w:r>
          </w:p>
        </w:tc>
        <w:tc>
          <w:tcPr>
            <w:tcW w:w="2998" w:type="dxa"/>
            <w:tcBorders>
              <w:top w:val="double" w:sz="4" w:space="0" w:color="auto"/>
              <w:left w:val="dotted" w:sz="4" w:space="0" w:color="auto"/>
              <w:bottom w:val="single" w:sz="12" w:space="0" w:color="auto"/>
              <w:right w:val="dotted" w:sz="4" w:space="0" w:color="auto"/>
            </w:tcBorders>
          </w:tcPr>
          <w:p w14:paraId="7FECBAE2"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lang w:val="fr-CA"/>
              </w:rPr>
              <w:t>CSA (respect)</w:t>
            </w:r>
          </w:p>
        </w:tc>
        <w:tc>
          <w:tcPr>
            <w:tcW w:w="2998" w:type="dxa"/>
            <w:tcBorders>
              <w:top w:val="double" w:sz="4" w:space="0" w:color="auto"/>
              <w:left w:val="dotted" w:sz="4" w:space="0" w:color="auto"/>
              <w:bottom w:val="single" w:sz="12" w:space="0" w:color="auto"/>
              <w:right w:val="single" w:sz="4" w:space="0" w:color="auto"/>
            </w:tcBorders>
          </w:tcPr>
          <w:p w14:paraId="37CA65D1"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lang w:val="fr-CA"/>
              </w:rPr>
              <w:t>Oui – respect du CSA</w:t>
            </w:r>
          </w:p>
        </w:tc>
      </w:tr>
      <w:tr w:rsidR="00E75837" w:rsidRPr="00850E24" w14:paraId="136A8D26" w14:textId="77777777" w:rsidTr="00FC4A74">
        <w:trPr>
          <w:trHeight w:val="836"/>
        </w:trPr>
        <w:tc>
          <w:tcPr>
            <w:tcW w:w="2998" w:type="dxa"/>
            <w:tcBorders>
              <w:top w:val="single" w:sz="12" w:space="0" w:color="auto"/>
              <w:left w:val="single" w:sz="12" w:space="0" w:color="auto"/>
              <w:bottom w:val="single" w:sz="12" w:space="0" w:color="auto"/>
              <w:right w:val="dotted" w:sz="4" w:space="0" w:color="auto"/>
            </w:tcBorders>
            <w:shd w:val="clear" w:color="auto" w:fill="E7E6E6" w:themeFill="background2"/>
          </w:tcPr>
          <w:p w14:paraId="1A63474C" w14:textId="77777777" w:rsidR="00E75837" w:rsidRPr="00850E24" w:rsidRDefault="00E75837" w:rsidP="00C003BC">
            <w:pPr>
              <w:keepLines/>
              <w:rPr>
                <w:rFonts w:ascii="Times New Roman" w:hAnsi="Times New Roman" w:cs="Times New Roman"/>
                <w:lang w:val="fr-CA"/>
              </w:rPr>
            </w:pPr>
            <w:r w:rsidRPr="00850E24">
              <w:rPr>
                <w:rFonts w:ascii="Times New Roman" w:hAnsi="Times New Roman" w:cs="Times New Roman"/>
                <w:lang w:val="fr-CA"/>
              </w:rPr>
              <w:t>Vérification de la concordance du rapport de gestion avec les comptes annuels (consolidés)</w:t>
            </w:r>
          </w:p>
        </w:tc>
        <w:tc>
          <w:tcPr>
            <w:tcW w:w="2998" w:type="dxa"/>
            <w:tcBorders>
              <w:top w:val="single" w:sz="12" w:space="0" w:color="auto"/>
              <w:left w:val="dotted" w:sz="4" w:space="0" w:color="auto"/>
              <w:right w:val="dotted" w:sz="4" w:space="0" w:color="auto"/>
            </w:tcBorders>
          </w:tcPr>
          <w:p w14:paraId="6DB2EAA0" w14:textId="77777777" w:rsidR="00E75837" w:rsidRPr="00850E24" w:rsidRDefault="00E75837" w:rsidP="00E75837">
            <w:pPr>
              <w:pStyle w:val="ListParagraph"/>
              <w:keepLines/>
              <w:numPr>
                <w:ilvl w:val="0"/>
                <w:numId w:val="7"/>
              </w:numPr>
              <w:ind w:left="140" w:hanging="219"/>
              <w:jc w:val="both"/>
              <w:rPr>
                <w:rFonts w:ascii="Times New Roman" w:hAnsi="Times New Roman" w:cs="Times New Roman"/>
                <w:lang w:val="fr-CA"/>
              </w:rPr>
            </w:pPr>
            <w:r w:rsidRPr="00850E24">
              <w:rPr>
                <w:rFonts w:ascii="Times New Roman" w:hAnsi="Times New Roman" w:cs="Times New Roman"/>
                <w:lang w:val="fr-CA"/>
              </w:rPr>
              <w:t xml:space="preserve">CSA </w:t>
            </w:r>
          </w:p>
          <w:p w14:paraId="03DFE8ED" w14:textId="77777777" w:rsidR="00E75837" w:rsidRPr="00850E24" w:rsidRDefault="00E75837" w:rsidP="00E75837">
            <w:pPr>
              <w:pStyle w:val="ListParagraph"/>
              <w:keepLines/>
              <w:numPr>
                <w:ilvl w:val="0"/>
                <w:numId w:val="7"/>
              </w:numPr>
              <w:ind w:left="140" w:hanging="219"/>
              <w:jc w:val="both"/>
              <w:rPr>
                <w:rFonts w:ascii="Times New Roman" w:hAnsi="Times New Roman" w:cs="Times New Roman"/>
                <w:lang w:val="fr-CA"/>
              </w:rPr>
            </w:pPr>
            <w:r w:rsidRPr="00850E24">
              <w:rPr>
                <w:rFonts w:ascii="Times New Roman" w:hAnsi="Times New Roman" w:cs="Times New Roman"/>
                <w:lang w:val="fr-CA"/>
              </w:rPr>
              <w:t>ISA 720 (Révisée)</w:t>
            </w:r>
          </w:p>
        </w:tc>
        <w:tc>
          <w:tcPr>
            <w:tcW w:w="2998" w:type="dxa"/>
            <w:tcBorders>
              <w:top w:val="single" w:sz="12" w:space="0" w:color="auto"/>
              <w:left w:val="dotted" w:sz="4" w:space="0" w:color="auto"/>
              <w:right w:val="single" w:sz="4" w:space="0" w:color="auto"/>
            </w:tcBorders>
          </w:tcPr>
          <w:p w14:paraId="3FF775AF"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lang w:val="fr-CA"/>
              </w:rPr>
              <w:t>Oui - ISA 720 (Révisée)</w:t>
            </w:r>
          </w:p>
        </w:tc>
      </w:tr>
      <w:tr w:rsidR="00E75837" w:rsidRPr="00850E24" w14:paraId="7751D936" w14:textId="77777777" w:rsidTr="00FC4A74">
        <w:trPr>
          <w:trHeight w:val="567"/>
        </w:trPr>
        <w:tc>
          <w:tcPr>
            <w:tcW w:w="2998" w:type="dxa"/>
            <w:tcBorders>
              <w:top w:val="single" w:sz="12" w:space="0" w:color="auto"/>
              <w:left w:val="single" w:sz="12" w:space="0" w:color="auto"/>
              <w:right w:val="dotted" w:sz="4" w:space="0" w:color="auto"/>
            </w:tcBorders>
            <w:shd w:val="clear" w:color="auto" w:fill="E7E6E6" w:themeFill="background2"/>
          </w:tcPr>
          <w:p w14:paraId="79B5A4B9" w14:textId="77777777" w:rsidR="00E75837" w:rsidRPr="00850E24" w:rsidRDefault="00E75837" w:rsidP="00C003BC">
            <w:pPr>
              <w:keepLines/>
              <w:rPr>
                <w:rFonts w:ascii="Times New Roman" w:hAnsi="Times New Roman" w:cs="Times New Roman"/>
                <w:lang w:val="fr-CA"/>
              </w:rPr>
            </w:pPr>
            <w:r w:rsidRPr="00850E24">
              <w:rPr>
                <w:rFonts w:ascii="Times New Roman" w:hAnsi="Times New Roman" w:cs="Times New Roman"/>
                <w:lang w:val="fr-CA"/>
              </w:rPr>
              <w:t>Vérification de l’exhaustivité du rapport de gestion</w:t>
            </w:r>
          </w:p>
        </w:tc>
        <w:tc>
          <w:tcPr>
            <w:tcW w:w="2998" w:type="dxa"/>
            <w:tcBorders>
              <w:top w:val="single" w:sz="12" w:space="0" w:color="auto"/>
              <w:left w:val="dotted" w:sz="4" w:space="0" w:color="auto"/>
              <w:right w:val="dotted" w:sz="4" w:space="0" w:color="auto"/>
            </w:tcBorders>
          </w:tcPr>
          <w:p w14:paraId="487D36B5"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lang w:val="fr-CA"/>
              </w:rPr>
              <w:t>CSA</w:t>
            </w:r>
          </w:p>
        </w:tc>
        <w:tc>
          <w:tcPr>
            <w:tcW w:w="2998" w:type="dxa"/>
            <w:tcBorders>
              <w:top w:val="single" w:sz="12" w:space="0" w:color="auto"/>
              <w:left w:val="dotted" w:sz="4" w:space="0" w:color="auto"/>
              <w:right w:val="single" w:sz="4" w:space="0" w:color="auto"/>
            </w:tcBorders>
          </w:tcPr>
          <w:p w14:paraId="06A88E02" w14:textId="77777777" w:rsidR="00E75837" w:rsidRPr="00850E24" w:rsidRDefault="00E75837" w:rsidP="00C003BC">
            <w:pPr>
              <w:keepLines/>
              <w:jc w:val="both"/>
              <w:rPr>
                <w:rFonts w:ascii="Times New Roman" w:hAnsi="Times New Roman" w:cs="Times New Roman"/>
                <w:lang w:val="fr-BE"/>
              </w:rPr>
            </w:pPr>
            <w:r w:rsidRPr="00850E24">
              <w:rPr>
                <w:rFonts w:ascii="Times New Roman" w:hAnsi="Times New Roman" w:cs="Times New Roman"/>
                <w:lang w:val="fr-BE"/>
              </w:rPr>
              <w:t xml:space="preserve">Oui – ISA 720 (Révisée) et respect du CSA </w:t>
            </w:r>
          </w:p>
          <w:p w14:paraId="0B5C8473"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rPr>
              <w:t> </w:t>
            </w:r>
          </w:p>
        </w:tc>
      </w:tr>
      <w:tr w:rsidR="00E75837" w:rsidRPr="00850E24" w14:paraId="250D4252" w14:textId="77777777" w:rsidTr="00FC4A74">
        <w:tc>
          <w:tcPr>
            <w:tcW w:w="2998" w:type="dxa"/>
            <w:tcBorders>
              <w:top w:val="single" w:sz="12" w:space="0" w:color="auto"/>
              <w:left w:val="single" w:sz="12" w:space="0" w:color="auto"/>
              <w:bottom w:val="single" w:sz="12" w:space="0" w:color="auto"/>
              <w:right w:val="dotted" w:sz="4" w:space="0" w:color="auto"/>
            </w:tcBorders>
            <w:shd w:val="clear" w:color="auto" w:fill="E7E6E6" w:themeFill="background2"/>
          </w:tcPr>
          <w:p w14:paraId="1A06D79E" w14:textId="77777777" w:rsidR="00E75837" w:rsidRPr="00850E24" w:rsidRDefault="00E75837" w:rsidP="00C003BC">
            <w:pPr>
              <w:keepLines/>
              <w:rPr>
                <w:rFonts w:ascii="Times New Roman" w:hAnsi="Times New Roman" w:cs="Times New Roman"/>
                <w:lang w:val="fr-CA"/>
              </w:rPr>
            </w:pPr>
            <w:r w:rsidRPr="00850E24">
              <w:rPr>
                <w:rFonts w:ascii="Times New Roman" w:hAnsi="Times New Roman" w:cs="Times New Roman"/>
                <w:lang w:val="fr-CA"/>
              </w:rPr>
              <w:t xml:space="preserve">Vérifications de l’existence d’éventuelles anomalies significatives dans le rapport de gestion, en particulier par rapport à la connaissance </w:t>
            </w:r>
            <w:r w:rsidRPr="00850E24">
              <w:rPr>
                <w:rFonts w:ascii="Times New Roman" w:eastAsia="Times New Roman" w:hAnsi="Times New Roman" w:cs="Times New Roman"/>
                <w:lang w:val="fr-CA" w:eastAsia="nl-NL"/>
              </w:rPr>
              <w:t>acquise lors du contrôle</w:t>
            </w:r>
          </w:p>
        </w:tc>
        <w:tc>
          <w:tcPr>
            <w:tcW w:w="2998" w:type="dxa"/>
            <w:tcBorders>
              <w:top w:val="single" w:sz="12" w:space="0" w:color="auto"/>
              <w:left w:val="dotted" w:sz="4" w:space="0" w:color="auto"/>
              <w:bottom w:val="single" w:sz="12" w:space="0" w:color="auto"/>
              <w:right w:val="dotted" w:sz="4" w:space="0" w:color="auto"/>
            </w:tcBorders>
          </w:tcPr>
          <w:p w14:paraId="138A8A90"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lang w:val="fr-CA"/>
              </w:rPr>
              <w:t>ISA 720 (Révisée)</w:t>
            </w:r>
          </w:p>
        </w:tc>
        <w:tc>
          <w:tcPr>
            <w:tcW w:w="2998" w:type="dxa"/>
            <w:tcBorders>
              <w:top w:val="single" w:sz="12" w:space="0" w:color="auto"/>
              <w:left w:val="dotted" w:sz="4" w:space="0" w:color="auto"/>
              <w:bottom w:val="single" w:sz="12" w:space="0" w:color="auto"/>
              <w:right w:val="single" w:sz="4" w:space="0" w:color="auto"/>
            </w:tcBorders>
          </w:tcPr>
          <w:p w14:paraId="44F278B3" w14:textId="77777777" w:rsidR="00E75837" w:rsidRPr="00850E24" w:rsidRDefault="00E75837" w:rsidP="00C003BC">
            <w:pPr>
              <w:keepLines/>
              <w:jc w:val="both"/>
              <w:rPr>
                <w:rFonts w:ascii="Times New Roman" w:hAnsi="Times New Roman" w:cs="Times New Roman"/>
                <w:lang w:val="fr-CA"/>
              </w:rPr>
            </w:pPr>
            <w:r w:rsidRPr="00850E24">
              <w:rPr>
                <w:rFonts w:ascii="Times New Roman" w:hAnsi="Times New Roman" w:cs="Times New Roman"/>
                <w:lang w:val="fr-CA"/>
              </w:rPr>
              <w:t>Oui - ISA 720 (Révisée)</w:t>
            </w:r>
          </w:p>
        </w:tc>
      </w:tr>
    </w:tbl>
    <w:p w14:paraId="08B60EB9" w14:textId="77777777" w:rsidR="00E75837" w:rsidRPr="00850E24" w:rsidRDefault="00E75837" w:rsidP="00E75837">
      <w:pPr>
        <w:keepLines/>
        <w:tabs>
          <w:tab w:val="left" w:pos="3121"/>
        </w:tabs>
        <w:ind w:left="123"/>
        <w:rPr>
          <w:rFonts w:ascii="Times New Roman" w:hAnsi="Times New Roman" w:cs="Times New Roman"/>
          <w:lang w:val="fr-CA"/>
        </w:rPr>
      </w:pPr>
    </w:p>
    <w:p w14:paraId="4B5F74E5" w14:textId="77777777" w:rsidR="00E75837" w:rsidRPr="00850E24" w:rsidRDefault="00E75837" w:rsidP="00E75837">
      <w:pPr>
        <w:rPr>
          <w:rFonts w:ascii="Times New Roman" w:hAnsi="Times New Roman" w:cs="Times New Roman"/>
          <w:i/>
          <w:u w:val="single"/>
          <w:lang w:val="fr-CA"/>
        </w:rPr>
      </w:pPr>
      <w:r w:rsidRPr="00850E24">
        <w:rPr>
          <w:rFonts w:ascii="Times New Roman" w:hAnsi="Times New Roman" w:cs="Times New Roman"/>
          <w:i/>
          <w:u w:val="single"/>
          <w:lang w:val="fr-CA"/>
        </w:rPr>
        <w:t>Rapport</w:t>
      </w:r>
    </w:p>
    <w:tbl>
      <w:tblPr>
        <w:tblStyle w:val="TableGrid"/>
        <w:tblW w:w="9057" w:type="dxa"/>
        <w:tblLook w:val="04A0" w:firstRow="1" w:lastRow="0" w:firstColumn="1" w:lastColumn="0" w:noHBand="0" w:noVBand="1"/>
      </w:tblPr>
      <w:tblGrid>
        <w:gridCol w:w="9057"/>
      </w:tblGrid>
      <w:tr w:rsidR="00F17C73" w:rsidRPr="00850E24" w14:paraId="7886DBB5" w14:textId="77777777" w:rsidTr="00F17C73">
        <w:tc>
          <w:tcPr>
            <w:tcW w:w="9057" w:type="dxa"/>
            <w:tcBorders>
              <w:top w:val="double" w:sz="4" w:space="0" w:color="auto"/>
              <w:left w:val="double" w:sz="4" w:space="0" w:color="auto"/>
              <w:bottom w:val="double" w:sz="4" w:space="0" w:color="auto"/>
            </w:tcBorders>
            <w:shd w:val="clear" w:color="auto" w:fill="000000" w:themeFill="text1"/>
          </w:tcPr>
          <w:p w14:paraId="28145D0B" w14:textId="77777777" w:rsidR="00F17C73" w:rsidRPr="00850E24" w:rsidRDefault="00F17C73" w:rsidP="00C003BC">
            <w:pPr>
              <w:spacing w:after="160" w:line="259" w:lineRule="auto"/>
              <w:rPr>
                <w:rFonts w:ascii="Times New Roman" w:hAnsi="Times New Roman" w:cs="Times New Roman"/>
                <w:lang w:val="fr-CA"/>
              </w:rPr>
            </w:pPr>
            <w:r w:rsidRPr="00850E24">
              <w:rPr>
                <w:rFonts w:ascii="Times New Roman" w:hAnsi="Times New Roman" w:cs="Times New Roman"/>
                <w:lang w:val="fr-CA"/>
              </w:rPr>
              <w:t xml:space="preserve">Rapport de gestion </w:t>
            </w:r>
          </w:p>
        </w:tc>
      </w:tr>
      <w:tr w:rsidR="00F17C73" w:rsidRPr="00850E24" w14:paraId="0458BECA" w14:textId="77777777" w:rsidTr="00F17C73">
        <w:tc>
          <w:tcPr>
            <w:tcW w:w="9057" w:type="dxa"/>
            <w:tcBorders>
              <w:top w:val="double" w:sz="4" w:space="0" w:color="auto"/>
              <w:left w:val="single" w:sz="12" w:space="0" w:color="auto"/>
              <w:bottom w:val="single" w:sz="12" w:space="0" w:color="auto"/>
              <w:right w:val="single" w:sz="4" w:space="0" w:color="auto"/>
            </w:tcBorders>
          </w:tcPr>
          <w:p w14:paraId="68A79CAC" w14:textId="258FC133" w:rsidR="00F17C73" w:rsidRPr="00850E24" w:rsidRDefault="00F17C73" w:rsidP="00C003BC">
            <w:pPr>
              <w:spacing w:after="160" w:line="259" w:lineRule="auto"/>
              <w:rPr>
                <w:rFonts w:ascii="Times New Roman" w:hAnsi="Times New Roman" w:cs="Times New Roman"/>
              </w:rPr>
            </w:pPr>
            <w:r w:rsidRPr="00850E24">
              <w:rPr>
                <w:rFonts w:ascii="Times New Roman" w:hAnsi="Times New Roman" w:cs="Times New Roman"/>
              </w:rPr>
              <w:t xml:space="preserve">Application de </w:t>
            </w:r>
            <w:proofErr w:type="spellStart"/>
            <w:r w:rsidRPr="00850E24">
              <w:rPr>
                <w:rFonts w:ascii="Times New Roman" w:hAnsi="Times New Roman" w:cs="Times New Roman"/>
              </w:rPr>
              <w:t>l’art</w:t>
            </w:r>
            <w:proofErr w:type="spellEnd"/>
            <w:r w:rsidRPr="00850E24">
              <w:rPr>
                <w:rFonts w:ascii="Times New Roman" w:hAnsi="Times New Roman" w:cs="Times New Roman"/>
              </w:rPr>
              <w:t>. 3:75, §1, 1er al., 6° CSA</w:t>
            </w:r>
            <w:r w:rsidR="002B02EC" w:rsidRPr="00850E24">
              <w:rPr>
                <w:rFonts w:ascii="Times New Roman" w:hAnsi="Times New Roman" w:cs="Times New Roman"/>
              </w:rPr>
              <w:t xml:space="preserve"> (art. 3:80, §1, 1er al., 5° CSA)</w:t>
            </w:r>
          </w:p>
        </w:tc>
      </w:tr>
      <w:tr w:rsidR="00F17C73" w:rsidRPr="00850E24" w14:paraId="0B7CFA34" w14:textId="77777777" w:rsidTr="00F17C73">
        <w:tc>
          <w:tcPr>
            <w:tcW w:w="9057" w:type="dxa"/>
            <w:tcBorders>
              <w:top w:val="single" w:sz="12" w:space="0" w:color="auto"/>
              <w:left w:val="single" w:sz="12" w:space="0" w:color="auto"/>
              <w:bottom w:val="single" w:sz="12" w:space="0" w:color="auto"/>
              <w:right w:val="single" w:sz="4" w:space="0" w:color="auto"/>
            </w:tcBorders>
          </w:tcPr>
          <w:p w14:paraId="5B9C06CD" w14:textId="77777777" w:rsidR="00F17C73" w:rsidRPr="00850E24" w:rsidRDefault="00F17C73" w:rsidP="00C003BC">
            <w:pPr>
              <w:spacing w:after="160" w:line="259" w:lineRule="auto"/>
              <w:rPr>
                <w:rFonts w:ascii="Times New Roman" w:hAnsi="Times New Roman" w:cs="Times New Roman"/>
                <w:lang w:val="fr-CA"/>
              </w:rPr>
            </w:pPr>
            <w:r w:rsidRPr="00850E24">
              <w:rPr>
                <w:rFonts w:ascii="Times New Roman" w:hAnsi="Times New Roman" w:cs="Times New Roman"/>
                <w:lang w:val="fr-CA"/>
              </w:rPr>
              <w:t>Combinaison du CSA, la norme complémentaire et la norme ISA 720 (Révisée)</w:t>
            </w:r>
          </w:p>
        </w:tc>
      </w:tr>
      <w:tr w:rsidR="00F17C73" w:rsidRPr="00850E24" w14:paraId="6FB5F222" w14:textId="77777777" w:rsidTr="00F17C73">
        <w:tc>
          <w:tcPr>
            <w:tcW w:w="9057" w:type="dxa"/>
            <w:tcBorders>
              <w:top w:val="single" w:sz="12" w:space="0" w:color="auto"/>
              <w:left w:val="single" w:sz="12" w:space="0" w:color="auto"/>
              <w:bottom w:val="single" w:sz="12" w:space="0" w:color="auto"/>
              <w:right w:val="single" w:sz="4" w:space="0" w:color="auto"/>
            </w:tcBorders>
          </w:tcPr>
          <w:p w14:paraId="549748F3" w14:textId="77777777" w:rsidR="00F17C73" w:rsidRPr="00850E24" w:rsidRDefault="00F17C73" w:rsidP="00C003BC">
            <w:pPr>
              <w:spacing w:after="160" w:line="259" w:lineRule="auto"/>
              <w:rPr>
                <w:rFonts w:ascii="Times New Roman" w:hAnsi="Times New Roman" w:cs="Times New Roman"/>
                <w:lang w:val="fr-CA"/>
              </w:rPr>
            </w:pPr>
            <w:r w:rsidRPr="00850E24">
              <w:rPr>
                <w:rFonts w:ascii="Times New Roman" w:hAnsi="Times New Roman" w:cs="Times New Roman"/>
                <w:lang w:val="fr-CA"/>
              </w:rPr>
              <w:t xml:space="preserve">Dans la section “Aspects relatifs au rapport de gestion”: </w:t>
            </w:r>
          </w:p>
          <w:p w14:paraId="4AD664A0" w14:textId="77777777" w:rsidR="00F17C73" w:rsidRPr="00850E24" w:rsidRDefault="00F17C73" w:rsidP="00C003BC">
            <w:pPr>
              <w:spacing w:after="160" w:line="259" w:lineRule="auto"/>
              <w:rPr>
                <w:rFonts w:ascii="Times New Roman" w:hAnsi="Times New Roman" w:cs="Times New Roman"/>
                <w:lang w:val="fr-CA"/>
              </w:rPr>
            </w:pPr>
            <w:r w:rsidRPr="00850E24">
              <w:rPr>
                <w:rFonts w:ascii="Times New Roman" w:hAnsi="Times New Roman" w:cs="Times New Roman"/>
                <w:lang w:val="fr-CA"/>
              </w:rPr>
              <w:t xml:space="preserve">a) opinion sur le respect de l’art. 3:6/3:32/3:48/3:52 CSA; </w:t>
            </w:r>
          </w:p>
          <w:p w14:paraId="1DDF1981" w14:textId="77777777" w:rsidR="00F17C73" w:rsidRPr="00850E24" w:rsidRDefault="00F17C73" w:rsidP="00C003BC">
            <w:pPr>
              <w:spacing w:after="160" w:line="259" w:lineRule="auto"/>
              <w:rPr>
                <w:rFonts w:ascii="Times New Roman" w:hAnsi="Times New Roman" w:cs="Times New Roman"/>
                <w:lang w:val="fr-CA"/>
              </w:rPr>
            </w:pPr>
            <w:r w:rsidRPr="00850E24">
              <w:rPr>
                <w:rFonts w:ascii="Times New Roman" w:hAnsi="Times New Roman" w:cs="Times New Roman"/>
                <w:lang w:val="fr-CA"/>
              </w:rPr>
              <w:t xml:space="preserve">b) opinion sur la concordance avec les comptes annuels; </w:t>
            </w:r>
          </w:p>
          <w:p w14:paraId="12E2395E" w14:textId="77777777" w:rsidR="00F17C73" w:rsidRPr="00850E24" w:rsidRDefault="00F17C73" w:rsidP="00C003BC">
            <w:pPr>
              <w:spacing w:after="160" w:line="259" w:lineRule="auto"/>
              <w:rPr>
                <w:rFonts w:ascii="Times New Roman" w:hAnsi="Times New Roman" w:cs="Times New Roman"/>
                <w:lang w:val="fr-CA"/>
              </w:rPr>
            </w:pPr>
            <w:r w:rsidRPr="00850E24">
              <w:rPr>
                <w:rFonts w:ascii="Times New Roman" w:hAnsi="Times New Roman" w:cs="Times New Roman"/>
                <w:lang w:val="fr-CA"/>
              </w:rPr>
              <w:t>c) mention si des anomalies significatives existent par rapport à la connaissance acquise lors du contrôle</w:t>
            </w:r>
          </w:p>
          <w:p w14:paraId="0BBF73EA" w14:textId="77777777" w:rsidR="00F17C73" w:rsidRPr="00850E24" w:rsidRDefault="00F17C73" w:rsidP="00C003BC">
            <w:pPr>
              <w:spacing w:after="160" w:line="259" w:lineRule="auto"/>
              <w:rPr>
                <w:rFonts w:ascii="Times New Roman" w:hAnsi="Times New Roman" w:cs="Times New Roman"/>
                <w:lang w:val="fr-CA"/>
              </w:rPr>
            </w:pPr>
          </w:p>
        </w:tc>
      </w:tr>
    </w:tbl>
    <w:p w14:paraId="3216E7BB" w14:textId="77777777" w:rsidR="00E75837" w:rsidRPr="00850E24" w:rsidRDefault="00E75837" w:rsidP="00E75837">
      <w:pPr>
        <w:rPr>
          <w:rFonts w:ascii="Times New Roman" w:hAnsi="Times New Roman" w:cs="Times New Roman"/>
          <w:lang w:val="fr-CA"/>
        </w:rPr>
      </w:pPr>
    </w:p>
    <w:p w14:paraId="6E43A8BA" w14:textId="77777777" w:rsidR="00E75837" w:rsidRPr="00850E24" w:rsidRDefault="00E75837">
      <w:pPr>
        <w:rPr>
          <w:rFonts w:ascii="Times New Roman" w:hAnsi="Times New Roman" w:cs="Times New Roman"/>
          <w:b/>
          <w:caps/>
          <w:sz w:val="24"/>
          <w:szCs w:val="24"/>
          <w:lang w:val="fr-BE"/>
        </w:rPr>
      </w:pPr>
      <w:r w:rsidRPr="00850E24">
        <w:rPr>
          <w:rFonts w:ascii="Times New Roman" w:hAnsi="Times New Roman" w:cs="Times New Roman"/>
          <w:b/>
          <w:caps/>
          <w:sz w:val="24"/>
          <w:szCs w:val="24"/>
          <w:lang w:val="fr-BE"/>
        </w:rPr>
        <w:br w:type="page"/>
      </w:r>
    </w:p>
    <w:p w14:paraId="39948312" w14:textId="5F3779AC" w:rsidR="00D67C7E" w:rsidRPr="00850E24" w:rsidRDefault="00D67C7E" w:rsidP="00D67C7E">
      <w:pPr>
        <w:jc w:val="both"/>
        <w:rPr>
          <w:rFonts w:ascii="Times New Roman" w:hAnsi="Times New Roman" w:cs="Times New Roman"/>
          <w:b/>
          <w:caps/>
          <w:sz w:val="24"/>
          <w:szCs w:val="24"/>
          <w:lang w:val="fr-BE"/>
        </w:rPr>
      </w:pPr>
      <w:r w:rsidRPr="00850E24">
        <w:rPr>
          <w:rFonts w:ascii="Times New Roman" w:hAnsi="Times New Roman" w:cs="Times New Roman"/>
          <w:b/>
          <w:caps/>
          <w:sz w:val="24"/>
          <w:szCs w:val="24"/>
          <w:lang w:val="fr-BE"/>
        </w:rPr>
        <w:lastRenderedPageBreak/>
        <w:t>Résumé de quelques information importantes de la norme isa 720 (révisée)</w:t>
      </w:r>
    </w:p>
    <w:tbl>
      <w:tblPr>
        <w:tblStyle w:val="TableGrid"/>
        <w:tblW w:w="0" w:type="auto"/>
        <w:tblLook w:val="04A0" w:firstRow="1" w:lastRow="0" w:firstColumn="1" w:lastColumn="0" w:noHBand="0" w:noVBand="1"/>
      </w:tblPr>
      <w:tblGrid>
        <w:gridCol w:w="9016"/>
      </w:tblGrid>
      <w:tr w:rsidR="00D67C7E" w:rsidRPr="00850E24" w14:paraId="39948322" w14:textId="77777777" w:rsidTr="003B3823">
        <w:tc>
          <w:tcPr>
            <w:tcW w:w="9016" w:type="dxa"/>
          </w:tcPr>
          <w:p w14:paraId="39948313" w14:textId="77777777" w:rsidR="00D67C7E" w:rsidRPr="00850E24" w:rsidRDefault="00D67C7E"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La norme ISA 720 (Révisée) définit, au par. 12 (a) le rapport annuel comme suit :</w:t>
            </w:r>
          </w:p>
          <w:p w14:paraId="39948314" w14:textId="77777777" w:rsidR="00D67C7E" w:rsidRPr="00850E24" w:rsidRDefault="00D67C7E" w:rsidP="003B3823">
            <w:pPr>
              <w:jc w:val="both"/>
              <w:rPr>
                <w:rFonts w:ascii="Times New Roman" w:hAnsi="Times New Roman" w:cs="Times New Roman"/>
                <w:sz w:val="24"/>
                <w:szCs w:val="24"/>
                <w:lang w:val="fr-BE"/>
              </w:rPr>
            </w:pPr>
          </w:p>
          <w:p w14:paraId="39948315" w14:textId="77777777" w:rsidR="00D67C7E" w:rsidRPr="00850E24" w:rsidRDefault="00D67C7E" w:rsidP="003B3823">
            <w:pPr>
              <w:ind w:left="708"/>
              <w:jc w:val="both"/>
              <w:rPr>
                <w:rFonts w:ascii="Times New Roman" w:hAnsi="Times New Roman" w:cs="Times New Roman"/>
                <w:i/>
                <w:kern w:val="8"/>
                <w:sz w:val="24"/>
                <w:szCs w:val="24"/>
                <w:lang w:val="fr-CA" w:bidi="he-IL"/>
              </w:rPr>
            </w:pPr>
            <w:r w:rsidRPr="00850E24">
              <w:rPr>
                <w:rFonts w:ascii="Times New Roman" w:hAnsi="Times New Roman" w:cs="Times New Roman"/>
                <w:i/>
                <w:sz w:val="24"/>
                <w:szCs w:val="24"/>
                <w:lang w:val="fr-BE"/>
              </w:rPr>
              <w:t xml:space="preserve">12. (a) </w:t>
            </w:r>
            <w:r w:rsidRPr="00850E24">
              <w:rPr>
                <w:rFonts w:ascii="Times New Roman" w:hAnsi="Times New Roman" w:cs="Times New Roman"/>
                <w:i/>
                <w:kern w:val="8"/>
                <w:sz w:val="24"/>
                <w:szCs w:val="24"/>
                <w:lang w:val="fr-CA" w:bidi="he-IL"/>
              </w:rPr>
              <w:t xml:space="preserve">Un document ou un ensemble de documents généralement préparés sur une base annuelle par la direction ou les personnes constituant le gouvernement d’entreprise en application de la législation, de la réglementation ou de la pratique, dont l’objectif consiste à fournir aux actionnaires (ou à des parties prenantes similaires) des informations sur les activités de l’entité ainsi que sur ses résultats financiers et sa situation financière, tels qu’ils sont présentés dans les états financiers. Un rapport annuel contient ou accompagne les états financiers et le rapport de l’auditeur sur ces états et comprend généralement des informations sur l’évolution de l’entité, ses </w:t>
            </w:r>
            <w:proofErr w:type="gramStart"/>
            <w:r w:rsidRPr="00850E24">
              <w:rPr>
                <w:rFonts w:ascii="Times New Roman" w:hAnsi="Times New Roman" w:cs="Times New Roman"/>
                <w:i/>
                <w:kern w:val="8"/>
                <w:sz w:val="24"/>
                <w:szCs w:val="24"/>
                <w:lang w:val="fr-CA" w:bidi="he-IL"/>
              </w:rPr>
              <w:t>perspectives d’avenir</w:t>
            </w:r>
            <w:proofErr w:type="gramEnd"/>
            <w:r w:rsidRPr="00850E24">
              <w:rPr>
                <w:rFonts w:ascii="Times New Roman" w:hAnsi="Times New Roman" w:cs="Times New Roman"/>
                <w:i/>
                <w:kern w:val="8"/>
                <w:sz w:val="24"/>
                <w:szCs w:val="24"/>
                <w:lang w:val="fr-CA" w:bidi="he-IL"/>
              </w:rPr>
              <w:t xml:space="preserve"> et les risques et incertitudes auxquels elle est exposée, une communication des personnes constituant le gouvernement d’entreprise et des rapports en matière de gouvernement d’entreprise.</w:t>
            </w:r>
          </w:p>
          <w:p w14:paraId="39948316" w14:textId="77777777" w:rsidR="00D67C7E" w:rsidRPr="00850E24" w:rsidRDefault="00D67C7E" w:rsidP="003B3823">
            <w:pPr>
              <w:jc w:val="both"/>
              <w:rPr>
                <w:rFonts w:ascii="Times New Roman" w:hAnsi="Times New Roman" w:cs="Times New Roman"/>
                <w:kern w:val="8"/>
                <w:sz w:val="24"/>
                <w:szCs w:val="24"/>
                <w:lang w:val="fr-CA" w:bidi="he-IL"/>
              </w:rPr>
            </w:pPr>
          </w:p>
          <w:p w14:paraId="39948317" w14:textId="77777777" w:rsidR="00D67C7E" w:rsidRPr="00850E24" w:rsidRDefault="00D67C7E"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Les paragraphes A4 et A5 expliquent : </w:t>
            </w:r>
          </w:p>
          <w:p w14:paraId="39948318" w14:textId="77777777" w:rsidR="00D67C7E" w:rsidRPr="00850E24" w:rsidRDefault="00D67C7E" w:rsidP="003B3823">
            <w:pPr>
              <w:jc w:val="both"/>
              <w:rPr>
                <w:rFonts w:ascii="Times New Roman" w:hAnsi="Times New Roman" w:cs="Times New Roman"/>
                <w:sz w:val="24"/>
                <w:szCs w:val="24"/>
                <w:lang w:val="fr-BE"/>
              </w:rPr>
            </w:pPr>
          </w:p>
          <w:p w14:paraId="39948319" w14:textId="77777777" w:rsidR="00D67C7E" w:rsidRPr="00850E24" w:rsidRDefault="00D67C7E" w:rsidP="003B3823">
            <w:pPr>
              <w:pStyle w:val="IFACNumberAndLetter"/>
              <w:numPr>
                <w:ilvl w:val="0"/>
                <w:numId w:val="0"/>
              </w:numPr>
              <w:ind w:left="709"/>
              <w:rPr>
                <w:rFonts w:ascii="Times New Roman" w:hAnsi="Times New Roman"/>
                <w:i/>
                <w:sz w:val="24"/>
                <w:lang w:val="fr-CA"/>
              </w:rPr>
            </w:pPr>
            <w:r w:rsidRPr="00850E24">
              <w:rPr>
                <w:rFonts w:ascii="Times New Roman" w:hAnsi="Times New Roman"/>
                <w:i/>
                <w:sz w:val="24"/>
                <w:lang w:val="fr-CA"/>
              </w:rPr>
              <w:t xml:space="preserve">A4. Un rapport annuel peut être mis à la disposition des utilisateurs sous forme papier ou électronique, y compris sur le site internet de l’entité. Un document (ou un ensemble de documents) peut répondre à la définition d’un rapport annuel quelle que soit la façon dont il est mis à la disposition des utilisateurs. </w:t>
            </w:r>
          </w:p>
          <w:p w14:paraId="3994831A" w14:textId="77777777" w:rsidR="00D67C7E" w:rsidRPr="00850E24" w:rsidRDefault="00D67C7E" w:rsidP="003B3823">
            <w:pPr>
              <w:pStyle w:val="IFACNumberAndLetter"/>
              <w:numPr>
                <w:ilvl w:val="0"/>
                <w:numId w:val="0"/>
              </w:numPr>
              <w:ind w:left="709"/>
              <w:rPr>
                <w:rFonts w:ascii="Times New Roman" w:hAnsi="Times New Roman"/>
                <w:i/>
                <w:sz w:val="24"/>
                <w:lang w:val="fr-CA"/>
              </w:rPr>
            </w:pPr>
            <w:r w:rsidRPr="00850E24">
              <w:rPr>
                <w:rFonts w:ascii="Times New Roman" w:hAnsi="Times New Roman"/>
                <w:i/>
                <w:sz w:val="24"/>
                <w:lang w:val="fr-CA"/>
              </w:rPr>
              <w:t xml:space="preserve">A5. Le rapport annuel diffère quant à sa nature, son objet et son contenu d’autres rapports, tels que les rapports préparés en vue de répondre aux besoins d’information d’un groupe de parties prenantes en particulier ou de satisfaire à des obligations d’information particulières imposées par la réglementation (même lorsque ces rapports doivent être rendus accessibles au public). Des exemples de rapports qui, lorsqu’ils sont publiés en tant que documents autonomes, ne font généralement pas partie de l’ensemble de documents qui constituent un rapport annuel (sous réserve de la législation, de la réglementation ou de la pratique) et, par conséquent, ne font pas partie des autres informations entrant dans le champ d’application de la présente Norme ISA, incluent : </w:t>
            </w:r>
          </w:p>
          <w:p w14:paraId="3994831B" w14:textId="77777777" w:rsidR="00D67C7E" w:rsidRPr="00850E24" w:rsidRDefault="00D67C7E" w:rsidP="003B3823">
            <w:pPr>
              <w:pStyle w:val="Bullet1Indented"/>
              <w:tabs>
                <w:tab w:val="clear" w:pos="1094"/>
              </w:tabs>
              <w:spacing w:before="0" w:after="12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 xml:space="preserve">Les rapports sectoriels ou réglementaires distincts (par exemple, les rapports sur l’adéquation des fonds propres), comme ceux qui sont préparés dans les secteurs de la banque, des assurances et des régimes de retraite ; </w:t>
            </w:r>
          </w:p>
          <w:p w14:paraId="3994831C" w14:textId="77777777" w:rsidR="00D67C7E" w:rsidRPr="00850E24" w:rsidRDefault="00D67C7E" w:rsidP="003B3823">
            <w:pPr>
              <w:pStyle w:val="Bullet1Indented"/>
              <w:tabs>
                <w:tab w:val="clear" w:pos="1094"/>
              </w:tabs>
              <w:spacing w:before="0" w:after="12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Les rapports de responsabilité sociale des entreprises ;</w:t>
            </w:r>
          </w:p>
          <w:p w14:paraId="3994831D" w14:textId="77777777" w:rsidR="00D67C7E" w:rsidRPr="00850E24" w:rsidRDefault="00D67C7E" w:rsidP="003B3823">
            <w:pPr>
              <w:pStyle w:val="Bullet1Indented"/>
              <w:tabs>
                <w:tab w:val="clear" w:pos="1094"/>
              </w:tabs>
              <w:spacing w:before="0" w:after="12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 xml:space="preserve">Les rapports sur le développement durable ; </w:t>
            </w:r>
          </w:p>
          <w:p w14:paraId="3994831E" w14:textId="77777777" w:rsidR="00D67C7E" w:rsidRPr="00850E24" w:rsidRDefault="00D67C7E" w:rsidP="003B3823">
            <w:pPr>
              <w:pStyle w:val="Bullet1Indented"/>
              <w:tabs>
                <w:tab w:val="clear" w:pos="1094"/>
              </w:tabs>
              <w:spacing w:before="0" w:after="12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Les rapports sur la diversité et l’égalité des chances ;</w:t>
            </w:r>
          </w:p>
          <w:p w14:paraId="3994831F" w14:textId="77777777" w:rsidR="00D67C7E" w:rsidRPr="00850E24" w:rsidRDefault="00D67C7E" w:rsidP="003B3823">
            <w:pPr>
              <w:pStyle w:val="Bullet1Indented"/>
              <w:tabs>
                <w:tab w:val="clear" w:pos="1094"/>
              </w:tabs>
              <w:spacing w:before="0" w:after="12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 xml:space="preserve">Les rapports sur la responsabilité du fait des produits ; </w:t>
            </w:r>
          </w:p>
          <w:p w14:paraId="39948320" w14:textId="77777777" w:rsidR="00D67C7E" w:rsidRPr="00850E24" w:rsidRDefault="00D67C7E" w:rsidP="003B3823">
            <w:pPr>
              <w:pStyle w:val="Bullet1Indented"/>
              <w:tabs>
                <w:tab w:val="clear" w:pos="1094"/>
              </w:tabs>
              <w:spacing w:before="0" w:after="12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 xml:space="preserve">Les rapports sur les pratiques et les conditions de travail ; </w:t>
            </w:r>
          </w:p>
          <w:p w14:paraId="39948321" w14:textId="77777777" w:rsidR="00D67C7E" w:rsidRPr="00850E24" w:rsidRDefault="00D67C7E" w:rsidP="003B3823">
            <w:pPr>
              <w:pStyle w:val="Bullet1Indented"/>
              <w:tabs>
                <w:tab w:val="clear" w:pos="1094"/>
              </w:tabs>
              <w:spacing w:before="0" w:after="200" w:line="276" w:lineRule="auto"/>
              <w:ind w:left="1418" w:hanging="709"/>
              <w:jc w:val="both"/>
              <w:rPr>
                <w:rFonts w:ascii="Times New Roman" w:hAnsi="Times New Roman"/>
                <w:i/>
                <w:sz w:val="24"/>
                <w:szCs w:val="24"/>
                <w:lang w:val="fr-CA"/>
              </w:rPr>
            </w:pPr>
            <w:r w:rsidRPr="00850E24">
              <w:rPr>
                <w:rFonts w:ascii="Times New Roman" w:hAnsi="Times New Roman"/>
                <w:i/>
                <w:sz w:val="24"/>
                <w:szCs w:val="24"/>
                <w:lang w:val="fr-CA"/>
              </w:rPr>
              <w:t>Les rapports sur les droits de l’homme.</w:t>
            </w:r>
          </w:p>
        </w:tc>
      </w:tr>
    </w:tbl>
    <w:p w14:paraId="39948323" w14:textId="77777777" w:rsidR="00D67C7E" w:rsidRPr="00850E24" w:rsidRDefault="00D67C7E" w:rsidP="00D67C7E">
      <w:pPr>
        <w:jc w:val="both"/>
        <w:rPr>
          <w:rFonts w:ascii="Times New Roman" w:hAnsi="Times New Roman" w:cs="Times New Roman"/>
          <w:sz w:val="24"/>
          <w:szCs w:val="24"/>
          <w:lang w:val="fr-BE"/>
        </w:rPr>
      </w:pPr>
    </w:p>
    <w:tbl>
      <w:tblPr>
        <w:tblStyle w:val="TableGrid"/>
        <w:tblW w:w="0" w:type="auto"/>
        <w:tblLook w:val="04A0" w:firstRow="1" w:lastRow="0" w:firstColumn="1" w:lastColumn="0" w:noHBand="0" w:noVBand="1"/>
      </w:tblPr>
      <w:tblGrid>
        <w:gridCol w:w="9016"/>
      </w:tblGrid>
      <w:tr w:rsidR="00D67C7E" w:rsidRPr="00850E24" w14:paraId="39948334" w14:textId="77777777" w:rsidTr="003B3823">
        <w:tc>
          <w:tcPr>
            <w:tcW w:w="9016" w:type="dxa"/>
          </w:tcPr>
          <w:p w14:paraId="39948324" w14:textId="77777777" w:rsidR="00D67C7E" w:rsidRPr="00850E24" w:rsidRDefault="00D67C7E"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Pour rappel</w:t>
            </w:r>
          </w:p>
          <w:p w14:paraId="39948325" w14:textId="77777777" w:rsidR="00D67C7E" w:rsidRPr="00850E24" w:rsidRDefault="00D67C7E" w:rsidP="003B3823">
            <w:pPr>
              <w:jc w:val="both"/>
              <w:rPr>
                <w:rFonts w:ascii="Times New Roman" w:hAnsi="Times New Roman" w:cs="Times New Roman"/>
                <w:sz w:val="24"/>
                <w:szCs w:val="24"/>
                <w:lang w:val="fr-BE"/>
              </w:rPr>
            </w:pPr>
          </w:p>
          <w:p w14:paraId="39948326" w14:textId="77777777" w:rsidR="00D67C7E" w:rsidRPr="00850E24" w:rsidRDefault="00D67C7E"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Les diligences requises par la norme ISA 720 (Révisée) sont – en résumé :</w:t>
            </w:r>
          </w:p>
          <w:p w14:paraId="39948327" w14:textId="77777777" w:rsidR="00D67C7E" w:rsidRPr="00850E24" w:rsidRDefault="00D67C7E" w:rsidP="003B3823">
            <w:pPr>
              <w:jc w:val="both"/>
              <w:rPr>
                <w:rFonts w:ascii="Times New Roman" w:hAnsi="Times New Roman" w:cs="Times New Roman"/>
                <w:sz w:val="24"/>
                <w:szCs w:val="24"/>
                <w:lang w:val="fr-BE"/>
              </w:rPr>
            </w:pPr>
          </w:p>
          <w:p w14:paraId="39948328" w14:textId="77777777" w:rsidR="00D67C7E" w:rsidRPr="00850E24" w:rsidRDefault="00D67C7E" w:rsidP="00D67C7E">
            <w:pPr>
              <w:pStyle w:val="ListParagraph"/>
              <w:numPr>
                <w:ilvl w:val="0"/>
                <w:numId w:val="5"/>
              </w:num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Existe-t-il une incohérence significative entre les « autres informations » (liée aux comptes annuels (consolidés)) et les comptes annuels (consolidés) ?</w:t>
            </w:r>
          </w:p>
          <w:p w14:paraId="39948329" w14:textId="77777777" w:rsidR="00D67C7E" w:rsidRPr="00850E24" w:rsidRDefault="00D67C7E" w:rsidP="00D67C7E">
            <w:pPr>
              <w:pStyle w:val="ListParagraph"/>
              <w:numPr>
                <w:ilvl w:val="0"/>
                <w:numId w:val="5"/>
              </w:num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Existe-t-il une incohérence significative entre les « autres informations » (liée aux comptes annuels (consolidés)) et la connaissance que le commissaire a acquis lors de l’audit (application de la norme ISA 315 (Révisée)) ?</w:t>
            </w:r>
          </w:p>
          <w:p w14:paraId="3994832A" w14:textId="77777777" w:rsidR="00D67C7E" w:rsidRPr="00850E24" w:rsidRDefault="00D67C7E" w:rsidP="00D67C7E">
            <w:pPr>
              <w:pStyle w:val="ListParagraph"/>
              <w:numPr>
                <w:ilvl w:val="0"/>
                <w:numId w:val="5"/>
              </w:num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Existe-t-il une anomalie significative entre les « autres informations » (non liée aux comptes annuels (consolidés)) et la connaissance que le commissaire a acquis lors de l’audit ? </w:t>
            </w:r>
          </w:p>
          <w:p w14:paraId="3994832B" w14:textId="77777777" w:rsidR="00D67C7E" w:rsidRPr="00850E24" w:rsidRDefault="00D67C7E" w:rsidP="003B3823">
            <w:pPr>
              <w:jc w:val="both"/>
              <w:rPr>
                <w:rFonts w:ascii="Times New Roman" w:hAnsi="Times New Roman" w:cs="Times New Roman"/>
                <w:sz w:val="24"/>
                <w:szCs w:val="24"/>
                <w:lang w:val="fr-BE"/>
              </w:rPr>
            </w:pPr>
          </w:p>
          <w:p w14:paraId="3994832C" w14:textId="77777777" w:rsidR="00D67C7E" w:rsidRPr="00850E24" w:rsidRDefault="00D67C7E" w:rsidP="003B3823">
            <w:pPr>
              <w:jc w:val="both"/>
              <w:rPr>
                <w:rFonts w:ascii="Times New Roman" w:hAnsi="Times New Roman" w:cs="Times New Roman"/>
                <w:sz w:val="24"/>
                <w:szCs w:val="24"/>
                <w:lang w:val="fr-BE"/>
              </w:rPr>
            </w:pPr>
            <w:r w:rsidRPr="00850E24">
              <w:rPr>
                <w:rFonts w:ascii="Times New Roman" w:hAnsi="Times New Roman" w:cs="Times New Roman"/>
                <w:sz w:val="24"/>
                <w:szCs w:val="24"/>
                <w:lang w:val="fr-BE"/>
              </w:rPr>
              <w:t xml:space="preserve">Lorsqu’il existe une anomalie significative non corrigée dans les autres informations, celle-ci devra être rapportée. </w:t>
            </w:r>
          </w:p>
          <w:p w14:paraId="3994832D" w14:textId="77777777" w:rsidR="00D67C7E" w:rsidRPr="00850E24" w:rsidRDefault="00D67C7E" w:rsidP="003B3823">
            <w:pPr>
              <w:jc w:val="both"/>
              <w:rPr>
                <w:rFonts w:ascii="Times New Roman" w:hAnsi="Times New Roman" w:cs="Times New Roman"/>
                <w:sz w:val="24"/>
                <w:szCs w:val="24"/>
                <w:lang w:val="fr-BE"/>
              </w:rPr>
            </w:pPr>
          </w:p>
          <w:p w14:paraId="3994832E" w14:textId="77777777" w:rsidR="00D67C7E" w:rsidRPr="00850E24" w:rsidRDefault="00D67C7E" w:rsidP="003B3823">
            <w:pPr>
              <w:jc w:val="both"/>
              <w:rPr>
                <w:rFonts w:ascii="Times New Roman" w:hAnsi="Times New Roman" w:cs="Times New Roman"/>
                <w:i/>
                <w:sz w:val="24"/>
                <w:szCs w:val="24"/>
                <w:lang w:val="fr-BE"/>
              </w:rPr>
            </w:pPr>
            <w:r w:rsidRPr="00850E24">
              <w:rPr>
                <w:rFonts w:ascii="Times New Roman" w:hAnsi="Times New Roman" w:cs="Times New Roman"/>
                <w:i/>
                <w:sz w:val="24"/>
                <w:szCs w:val="24"/>
                <w:lang w:val="fr-BE"/>
              </w:rPr>
              <w:t>La connaissance acquise par l’auditeur lors de l’audit</w:t>
            </w:r>
          </w:p>
          <w:p w14:paraId="3994832F" w14:textId="77777777" w:rsidR="00D67C7E" w:rsidRPr="00850E24" w:rsidRDefault="00D67C7E" w:rsidP="003B3823">
            <w:pPr>
              <w:jc w:val="both"/>
              <w:rPr>
                <w:rFonts w:ascii="Times New Roman" w:hAnsi="Times New Roman" w:cs="Times New Roman"/>
                <w:i/>
                <w:sz w:val="24"/>
                <w:szCs w:val="24"/>
                <w:lang w:val="fr-BE"/>
              </w:rPr>
            </w:pPr>
          </w:p>
          <w:p w14:paraId="39948330" w14:textId="77777777" w:rsidR="00D67C7E" w:rsidRPr="00850E24" w:rsidRDefault="00D67C7E" w:rsidP="00D67C7E">
            <w:pPr>
              <w:pStyle w:val="ListParagraph"/>
              <w:numPr>
                <w:ilvl w:val="0"/>
                <w:numId w:val="6"/>
              </w:numPr>
              <w:jc w:val="both"/>
              <w:rPr>
                <w:rFonts w:ascii="Times New Roman" w:hAnsi="Times New Roman" w:cs="Times New Roman"/>
                <w:sz w:val="24"/>
                <w:szCs w:val="24"/>
                <w:lang w:val="fr-BE"/>
              </w:rPr>
            </w:pPr>
            <w:proofErr w:type="gramStart"/>
            <w:r w:rsidRPr="00850E24">
              <w:rPr>
                <w:rFonts w:ascii="Times New Roman" w:eastAsia="Calibri" w:hAnsi="Times New Roman" w:cs="Times New Roman"/>
                <w:sz w:val="24"/>
                <w:lang w:val="fr-CA"/>
              </w:rPr>
              <w:t>la</w:t>
            </w:r>
            <w:proofErr w:type="gramEnd"/>
            <w:r w:rsidRPr="00850E24">
              <w:rPr>
                <w:rFonts w:ascii="Times New Roman" w:eastAsia="Calibri" w:hAnsi="Times New Roman" w:cs="Times New Roman"/>
                <w:sz w:val="24"/>
                <w:lang w:val="fr-CA"/>
              </w:rPr>
              <w:t xml:space="preserve"> connaissance de l’entité et de son environnement, y compris de son contrôle interne, acquise conformément à la Norme ISA 315 (Révisée)</w:t>
            </w:r>
            <w:r w:rsidRPr="00850E24">
              <w:rPr>
                <w:rFonts w:ascii="Times New Roman" w:eastAsia="Calibri" w:hAnsi="Times New Roman" w:cs="Times New Roman"/>
                <w:sz w:val="24"/>
                <w:vertAlign w:val="superscript"/>
                <w:lang w:val="fr-CA"/>
              </w:rPr>
              <w:footnoteReference w:id="5"/>
            </w:r>
            <w:r w:rsidRPr="00850E24">
              <w:rPr>
                <w:rFonts w:ascii="Times New Roman" w:eastAsia="Calibri" w:hAnsi="Times New Roman" w:cs="Times New Roman"/>
                <w:sz w:val="24"/>
                <w:lang w:val="fr-CA"/>
              </w:rPr>
              <w:t xml:space="preserve"> (par. A31)</w:t>
            </w:r>
          </w:p>
          <w:p w14:paraId="39948331" w14:textId="77777777" w:rsidR="00D67C7E" w:rsidRPr="00850E24" w:rsidRDefault="00D67C7E" w:rsidP="00D67C7E">
            <w:pPr>
              <w:pStyle w:val="ListParagraph"/>
              <w:numPr>
                <w:ilvl w:val="0"/>
                <w:numId w:val="6"/>
              </w:numPr>
              <w:jc w:val="both"/>
              <w:rPr>
                <w:rFonts w:ascii="Times New Roman" w:hAnsi="Times New Roman" w:cs="Times New Roman"/>
                <w:sz w:val="24"/>
                <w:szCs w:val="24"/>
                <w:lang w:val="fr-BE"/>
              </w:rPr>
            </w:pPr>
            <w:proofErr w:type="gramStart"/>
            <w:r w:rsidRPr="00850E24">
              <w:rPr>
                <w:rFonts w:ascii="Times New Roman" w:hAnsi="Times New Roman" w:cs="Times New Roman"/>
                <w:sz w:val="24"/>
                <w:lang w:val="fr-CA"/>
              </w:rPr>
              <w:t>peut</w:t>
            </w:r>
            <w:proofErr w:type="gramEnd"/>
            <w:r w:rsidRPr="00850E24">
              <w:rPr>
                <w:rFonts w:ascii="Times New Roman" w:hAnsi="Times New Roman" w:cs="Times New Roman"/>
                <w:sz w:val="24"/>
                <w:lang w:val="fr-CA"/>
              </w:rPr>
              <w:t xml:space="preserve"> également englober des éléments de nature prospective (Par. A32)</w:t>
            </w:r>
          </w:p>
          <w:p w14:paraId="39948332" w14:textId="77777777" w:rsidR="00D67C7E" w:rsidRPr="00850E24" w:rsidRDefault="00D67C7E" w:rsidP="00D67C7E">
            <w:pPr>
              <w:pStyle w:val="ListParagraph"/>
              <w:numPr>
                <w:ilvl w:val="0"/>
                <w:numId w:val="6"/>
              </w:numPr>
              <w:jc w:val="both"/>
              <w:rPr>
                <w:rFonts w:ascii="Times New Roman" w:hAnsi="Times New Roman" w:cs="Times New Roman"/>
                <w:sz w:val="24"/>
                <w:szCs w:val="24"/>
                <w:lang w:val="fr-BE"/>
              </w:rPr>
            </w:pPr>
            <w:r w:rsidRPr="00850E24">
              <w:rPr>
                <w:rFonts w:ascii="Times New Roman" w:hAnsi="Times New Roman" w:cs="Times New Roman"/>
                <w:sz w:val="24"/>
                <w:lang w:val="fr-CA"/>
              </w:rPr>
              <w:t>Pour de nombreux éléments contenus dans les autres informations, le souvenir qu’a l’auditeur des éléments probants recueillis et des conclusions dégagées lors de l’audit peut être suffisant pour lui permettre d’apprécier s’il existe une incohérence significative entre les autres informations et la connaissance qu’il a acquise lors de l’audit (par. A34)</w:t>
            </w:r>
          </w:p>
          <w:p w14:paraId="39948333" w14:textId="77777777" w:rsidR="00D67C7E" w:rsidRPr="00850E24" w:rsidRDefault="00D67C7E" w:rsidP="00850E24">
            <w:pPr>
              <w:pStyle w:val="ListParagraph"/>
              <w:numPr>
                <w:ilvl w:val="0"/>
                <w:numId w:val="6"/>
              </w:numPr>
              <w:spacing w:after="120"/>
              <w:ind w:left="714" w:hanging="357"/>
              <w:contextualSpacing w:val="0"/>
              <w:jc w:val="both"/>
              <w:rPr>
                <w:rFonts w:ascii="Times New Roman" w:hAnsi="Times New Roman" w:cs="Times New Roman"/>
                <w:sz w:val="24"/>
                <w:szCs w:val="24"/>
                <w:lang w:val="fr-BE"/>
              </w:rPr>
            </w:pPr>
            <w:r w:rsidRPr="00850E24">
              <w:rPr>
                <w:rFonts w:ascii="Times New Roman" w:hAnsi="Times New Roman" w:cs="Times New Roman"/>
                <w:sz w:val="24"/>
                <w:lang w:val="fr-CA"/>
              </w:rPr>
              <w:t>L’auditeur s’en remet à son jugement professionnel pour déterminer si — et, le cas échéant, dans quelle mesure — il se reporte à la documentation d’audit pertinente ou encore procède à des demandes d’informations auprès des membres appropriés de l’équipe affectée à la mission ou des auditeurs appropriés des composants. Cependant, il peut ne pas être nécessaire pour chacun des éléments contenus dans les autres informations que l’auditeur se reporte à la documentation d’audit pertinente, qu’il procède à des demandes d’informations auprès des membres appropriés de l’équipe affectée à la mission ou des auditeurs des composants appropriés. (</w:t>
            </w:r>
            <w:proofErr w:type="gramStart"/>
            <w:r w:rsidRPr="00850E24">
              <w:rPr>
                <w:rFonts w:ascii="Times New Roman" w:hAnsi="Times New Roman" w:cs="Times New Roman"/>
                <w:sz w:val="24"/>
                <w:lang w:val="fr-CA"/>
              </w:rPr>
              <w:t>par</w:t>
            </w:r>
            <w:proofErr w:type="gramEnd"/>
            <w:r w:rsidRPr="00850E24">
              <w:rPr>
                <w:rFonts w:ascii="Times New Roman" w:hAnsi="Times New Roman" w:cs="Times New Roman"/>
                <w:sz w:val="24"/>
                <w:lang w:val="fr-CA"/>
              </w:rPr>
              <w:t>. A36)</w:t>
            </w:r>
          </w:p>
        </w:tc>
      </w:tr>
    </w:tbl>
    <w:p w14:paraId="39948335" w14:textId="77777777" w:rsidR="00D67C7E" w:rsidRPr="00850E24" w:rsidRDefault="00D67C7E" w:rsidP="00D67C7E">
      <w:pPr>
        <w:jc w:val="both"/>
        <w:rPr>
          <w:rFonts w:ascii="Times New Roman" w:hAnsi="Times New Roman" w:cs="Times New Roman"/>
          <w:sz w:val="24"/>
          <w:szCs w:val="24"/>
          <w:lang w:val="fr-BE"/>
        </w:rPr>
      </w:pPr>
    </w:p>
    <w:p w14:paraId="39948336" w14:textId="77777777" w:rsidR="00970134" w:rsidRPr="00850E24" w:rsidRDefault="00970134">
      <w:pPr>
        <w:rPr>
          <w:rFonts w:ascii="Times New Roman" w:hAnsi="Times New Roman" w:cs="Times New Roman"/>
        </w:rPr>
      </w:pPr>
    </w:p>
    <w:sectPr w:rsidR="00970134" w:rsidRPr="00850E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00B9" w14:textId="77777777" w:rsidR="00D11B43" w:rsidRDefault="00D11B43" w:rsidP="00D67C7E">
      <w:pPr>
        <w:spacing w:after="0" w:line="240" w:lineRule="auto"/>
      </w:pPr>
      <w:r>
        <w:separator/>
      </w:r>
    </w:p>
  </w:endnote>
  <w:endnote w:type="continuationSeparator" w:id="0">
    <w:p w14:paraId="0EE2D351" w14:textId="77777777" w:rsidR="00D11B43" w:rsidRDefault="00D11B43" w:rsidP="00D67C7E">
      <w:pPr>
        <w:spacing w:after="0" w:line="240" w:lineRule="auto"/>
      </w:pPr>
      <w:r>
        <w:continuationSeparator/>
      </w:r>
    </w:p>
  </w:endnote>
  <w:endnote w:type="continuationNotice" w:id="1">
    <w:p w14:paraId="3767669D" w14:textId="77777777" w:rsidR="00D11B43" w:rsidRDefault="00D11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8340" w14:textId="3F8AD733" w:rsidR="003B3823" w:rsidRDefault="00912A48" w:rsidP="00912A48">
    <w:pPr>
      <w:pStyle w:val="Footer"/>
    </w:pPr>
    <w:r>
      <w:t xml:space="preserve">ICCI 2023-1 Rapport du </w:t>
    </w:r>
    <w:proofErr w:type="spellStart"/>
    <w:r>
      <w:t>commissaire</w:t>
    </w:r>
    <w:proofErr w:type="spellEnd"/>
    <w:r>
      <w:tab/>
      <w:t>Annexe 6</w:t>
    </w:r>
    <w:r>
      <w:tab/>
    </w:r>
    <w:r w:rsidR="003B3823">
      <w:fldChar w:fldCharType="begin"/>
    </w:r>
    <w:r w:rsidR="003B3823">
      <w:instrText xml:space="preserve"> PAGE   \* MERGEFORMAT </w:instrText>
    </w:r>
    <w:r w:rsidR="003B3823">
      <w:fldChar w:fldCharType="separate"/>
    </w:r>
    <w:r w:rsidR="00E0161E">
      <w:rPr>
        <w:noProof/>
      </w:rPr>
      <w:t>2</w:t>
    </w:r>
    <w:r w:rsidR="003B3823">
      <w:fldChar w:fldCharType="end"/>
    </w:r>
    <w:r w:rsidR="003B3823">
      <w:t>/</w:t>
    </w:r>
    <w:r w:rsidR="003B3823">
      <w:rPr>
        <w:noProof/>
      </w:rPr>
      <w:fldChar w:fldCharType="begin"/>
    </w:r>
    <w:r w:rsidR="003B3823">
      <w:rPr>
        <w:noProof/>
      </w:rPr>
      <w:instrText xml:space="preserve"> NUMPAGES   \* MERGEFORMAT </w:instrText>
    </w:r>
    <w:r w:rsidR="003B3823">
      <w:rPr>
        <w:noProof/>
      </w:rPr>
      <w:fldChar w:fldCharType="separate"/>
    </w:r>
    <w:r w:rsidR="00E0161E">
      <w:rPr>
        <w:noProof/>
      </w:rPr>
      <w:t>7</w:t>
    </w:r>
    <w:r w:rsidR="003B38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5C7B" w14:textId="77777777" w:rsidR="00D11B43" w:rsidRDefault="00D11B43" w:rsidP="00D67C7E">
      <w:pPr>
        <w:spacing w:after="0" w:line="240" w:lineRule="auto"/>
      </w:pPr>
      <w:r>
        <w:separator/>
      </w:r>
    </w:p>
  </w:footnote>
  <w:footnote w:type="continuationSeparator" w:id="0">
    <w:p w14:paraId="58D90F35" w14:textId="77777777" w:rsidR="00D11B43" w:rsidRDefault="00D11B43" w:rsidP="00D67C7E">
      <w:pPr>
        <w:spacing w:after="0" w:line="240" w:lineRule="auto"/>
      </w:pPr>
      <w:r>
        <w:continuationSeparator/>
      </w:r>
    </w:p>
  </w:footnote>
  <w:footnote w:type="continuationNotice" w:id="1">
    <w:p w14:paraId="3EB8286E" w14:textId="77777777" w:rsidR="00D11B43" w:rsidRDefault="00D11B43">
      <w:pPr>
        <w:spacing w:after="0" w:line="240" w:lineRule="auto"/>
      </w:pPr>
    </w:p>
  </w:footnote>
  <w:footnote w:id="2">
    <w:p w14:paraId="39948343" w14:textId="77777777" w:rsidR="00D67C7E" w:rsidRPr="00850E24" w:rsidRDefault="00D67C7E" w:rsidP="00D67C7E">
      <w:pPr>
        <w:pStyle w:val="FootnoteText"/>
        <w:rPr>
          <w:rFonts w:ascii="Times New Roman" w:hAnsi="Times New Roman" w:cs="Times New Roman"/>
          <w:lang w:val="fr-BE"/>
        </w:rPr>
      </w:pPr>
      <w:r w:rsidRPr="00850E24">
        <w:rPr>
          <w:rStyle w:val="FootnoteReference"/>
          <w:rFonts w:ascii="Times New Roman" w:hAnsi="Times New Roman" w:cs="Times New Roman"/>
        </w:rPr>
        <w:footnoteRef/>
      </w:r>
      <w:r w:rsidRPr="00850E24">
        <w:rPr>
          <w:rFonts w:ascii="Times New Roman" w:hAnsi="Times New Roman" w:cs="Times New Roman"/>
          <w:lang w:val="fr-BE"/>
        </w:rPr>
        <w:t xml:space="preserve"> Ou un ensemble de documents qui, ensemble, servent le même objectif (cf. ISA 720 (Révisée), par. A3). </w:t>
      </w:r>
    </w:p>
  </w:footnote>
  <w:footnote w:id="3">
    <w:p w14:paraId="39948344" w14:textId="77777777" w:rsidR="00D67C7E" w:rsidRPr="00850E24" w:rsidRDefault="00D67C7E" w:rsidP="00D67C7E">
      <w:pPr>
        <w:pStyle w:val="FootnoteText"/>
        <w:jc w:val="both"/>
        <w:rPr>
          <w:rFonts w:ascii="Times New Roman" w:hAnsi="Times New Roman" w:cs="Times New Roman"/>
          <w:lang w:val="fr-BE"/>
        </w:rPr>
      </w:pPr>
      <w:r w:rsidRPr="00850E24">
        <w:rPr>
          <w:rStyle w:val="FootnoteReference"/>
          <w:rFonts w:ascii="Times New Roman" w:hAnsi="Times New Roman" w:cs="Times New Roman"/>
        </w:rPr>
        <w:footnoteRef/>
      </w:r>
      <w:r w:rsidRPr="00850E24">
        <w:rPr>
          <w:rFonts w:ascii="Times New Roman" w:hAnsi="Times New Roman" w:cs="Times New Roman"/>
          <w:lang w:val="fr-BE"/>
        </w:rPr>
        <w:t xml:space="preserve"> Le par. A2 de la norme ISA 720 (Révisée) stipule </w:t>
      </w:r>
      <w:proofErr w:type="gramStart"/>
      <w:r w:rsidRPr="00850E24">
        <w:rPr>
          <w:rFonts w:ascii="Times New Roman" w:hAnsi="Times New Roman" w:cs="Times New Roman"/>
          <w:lang w:val="fr-BE"/>
        </w:rPr>
        <w:t>également:</w:t>
      </w:r>
      <w:proofErr w:type="gramEnd"/>
      <w:r w:rsidRPr="00850E24">
        <w:rPr>
          <w:rFonts w:ascii="Times New Roman" w:hAnsi="Times New Roman" w:cs="Times New Roman"/>
          <w:lang w:val="fr-BE"/>
        </w:rPr>
        <w:t xml:space="preserve"> « </w:t>
      </w:r>
      <w:r w:rsidRPr="00850E24">
        <w:rPr>
          <w:rFonts w:ascii="Times New Roman" w:hAnsi="Times New Roman" w:cs="Times New Roman"/>
          <w:i/>
          <w:lang w:val="fr-BE"/>
        </w:rPr>
        <w:t>Généralement, le rapport annuel est préparé sur une base annuelle. Cependant, lorsque les états financiers faisant l’objet de l’audit sont établis pour une période de moins d’un an ou de plus d’un an, il se peut qu’un rapport annuel soit également préparé pour couvrir la même période que les états financiers. </w:t>
      </w:r>
      <w:r w:rsidRPr="00850E24">
        <w:rPr>
          <w:rFonts w:ascii="Times New Roman" w:hAnsi="Times New Roman" w:cs="Times New Roman"/>
          <w:lang w:val="fr-BE"/>
        </w:rPr>
        <w:t>».</w:t>
      </w:r>
    </w:p>
  </w:footnote>
  <w:footnote w:id="4">
    <w:p w14:paraId="39948345" w14:textId="77777777" w:rsidR="00472C3D" w:rsidRPr="00850E24" w:rsidRDefault="00472C3D" w:rsidP="00D67C7E">
      <w:pPr>
        <w:pStyle w:val="FootnoteText"/>
        <w:jc w:val="both"/>
        <w:rPr>
          <w:rFonts w:ascii="Times New Roman" w:hAnsi="Times New Roman" w:cs="Times New Roman"/>
          <w:lang w:val="fr-BE"/>
        </w:rPr>
      </w:pPr>
      <w:r w:rsidRPr="00850E24">
        <w:rPr>
          <w:rStyle w:val="FootnoteReference"/>
          <w:rFonts w:ascii="Times New Roman" w:hAnsi="Times New Roman" w:cs="Times New Roman"/>
        </w:rPr>
        <w:footnoteRef/>
      </w:r>
      <w:r w:rsidRPr="00850E24">
        <w:rPr>
          <w:rFonts w:ascii="Times New Roman" w:hAnsi="Times New Roman" w:cs="Times New Roman"/>
          <w:lang w:val="fr-BE"/>
        </w:rPr>
        <w:t xml:space="preserve"> Le dépôt (et donc la communication au “grand public”) dans les 30 jours après l’approbation des comptes annuels (consolidés) n’est pas visé par ce critère. En effet, conformément à la norme ISA 720 (Révisée), les « autres informations » obtenues après la date du rapport du commissaire sont également visées par la norme ISA 720 (Révisée) (par. 6 et 13 (c)). </w:t>
      </w:r>
    </w:p>
  </w:footnote>
  <w:footnote w:id="5">
    <w:p w14:paraId="39948346" w14:textId="4543F7A7" w:rsidR="00D67C7E" w:rsidRPr="00850E24" w:rsidRDefault="00D67C7E" w:rsidP="00850E24">
      <w:pPr>
        <w:pStyle w:val="FootnoteText"/>
        <w:jc w:val="both"/>
        <w:rPr>
          <w:rFonts w:ascii="Times New Roman" w:hAnsi="Times New Roman" w:cs="Times New Roman"/>
          <w:lang w:val="fr-CA"/>
        </w:rPr>
      </w:pPr>
      <w:r w:rsidRPr="00850E24">
        <w:rPr>
          <w:rStyle w:val="FootnoteReference"/>
          <w:rFonts w:ascii="Times New Roman" w:hAnsi="Times New Roman" w:cs="Times New Roman"/>
          <w:lang w:val="fr-CA"/>
        </w:rPr>
        <w:footnoteRef/>
      </w:r>
      <w:r w:rsidRPr="00850E24">
        <w:rPr>
          <w:rFonts w:ascii="Times New Roman" w:hAnsi="Times New Roman" w:cs="Times New Roman"/>
          <w:lang w:val="fr-CA"/>
        </w:rPr>
        <w:t xml:space="preserve"> Norme ISA 315 (Révisée), </w:t>
      </w:r>
      <w:r w:rsidRPr="00850E24">
        <w:rPr>
          <w:rFonts w:ascii="Times New Roman" w:hAnsi="Times New Roman" w:cs="Times New Roman"/>
          <w:i/>
          <w:lang w:val="fr-CA"/>
        </w:rPr>
        <w:t>Identification et évaluation des risques d’anomalies significatives par la connaissance de l’entité et de son environnement</w:t>
      </w:r>
      <w:r w:rsidRPr="00850E24">
        <w:rPr>
          <w:rFonts w:ascii="Times New Roman" w:hAnsi="Times New Roman" w:cs="Times New Roman"/>
          <w:lang w:val="fr-CA"/>
        </w:rPr>
        <w:t>, paragraphes 11-12.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3F3"/>
    <w:multiLevelType w:val="hybridMultilevel"/>
    <w:tmpl w:val="D1566CD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90D5A83"/>
    <w:multiLevelType w:val="hybridMultilevel"/>
    <w:tmpl w:val="54BADDE6"/>
    <w:lvl w:ilvl="0" w:tplc="E40C57A2">
      <w:start w:val="1"/>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4D6D226F"/>
    <w:multiLevelType w:val="hybridMultilevel"/>
    <w:tmpl w:val="84E6E45E"/>
    <w:lvl w:ilvl="0" w:tplc="A6BE584A">
      <w:start w:val="1"/>
      <w:numFmt w:val="decimal"/>
      <w:pStyle w:val="IFACNumberAndLetter"/>
      <w:lvlText w:val="A%1."/>
      <w:lvlJc w:val="left"/>
      <w:pPr>
        <w:ind w:left="720" w:hanging="360"/>
      </w:pPr>
      <w:rPr>
        <w:rFonts w:ascii="Times New Roman" w:hAnsi="Times New Roman" w:cs="Times New Roman" w:hint="default"/>
        <w:b w:val="0"/>
        <w:i w:val="0"/>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C6F3E75"/>
    <w:multiLevelType w:val="hybridMultilevel"/>
    <w:tmpl w:val="59BC14CC"/>
    <w:lvl w:ilvl="0" w:tplc="C3BEE890">
      <w:start w:val="1"/>
      <w:numFmt w:val="bullet"/>
      <w:pStyle w:val="Bullet1Indented"/>
      <w:lvlText w:val=""/>
      <w:lvlJc w:val="left"/>
      <w:pPr>
        <w:ind w:left="1945" w:hanging="360"/>
      </w:pPr>
      <w:rPr>
        <w:rFonts w:ascii="Symbol" w:hAnsi="Symbol" w:hint="default"/>
        <w:b w:val="0"/>
        <w:i w:val="0"/>
        <w:sz w:val="20"/>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4" w15:restartNumberingAfterBreak="0">
    <w:nsid w:val="78FE7D62"/>
    <w:multiLevelType w:val="hybridMultilevel"/>
    <w:tmpl w:val="984E94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99F1F1B"/>
    <w:multiLevelType w:val="hybridMultilevel"/>
    <w:tmpl w:val="1EFE4262"/>
    <w:lvl w:ilvl="0" w:tplc="038A059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E402F82"/>
    <w:multiLevelType w:val="hybridMultilevel"/>
    <w:tmpl w:val="80908100"/>
    <w:lvl w:ilvl="0" w:tplc="FFFFFFFF">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4702569">
    <w:abstractNumId w:val="0"/>
  </w:num>
  <w:num w:numId="2" w16cid:durableId="273749992">
    <w:abstractNumId w:val="1"/>
  </w:num>
  <w:num w:numId="3" w16cid:durableId="2045792421">
    <w:abstractNumId w:val="3"/>
  </w:num>
  <w:num w:numId="4" w16cid:durableId="1234438175">
    <w:abstractNumId w:val="2"/>
  </w:num>
  <w:num w:numId="5" w16cid:durableId="1352684878">
    <w:abstractNumId w:val="4"/>
  </w:num>
  <w:num w:numId="6" w16cid:durableId="2118982861">
    <w:abstractNumId w:val="6"/>
  </w:num>
  <w:num w:numId="7" w16cid:durableId="2137523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7E"/>
    <w:rsid w:val="0001043F"/>
    <w:rsid w:val="00025077"/>
    <w:rsid w:val="00055F55"/>
    <w:rsid w:val="002776BA"/>
    <w:rsid w:val="002B02EC"/>
    <w:rsid w:val="003710AC"/>
    <w:rsid w:val="003B3823"/>
    <w:rsid w:val="00472C3D"/>
    <w:rsid w:val="0055511E"/>
    <w:rsid w:val="005950EF"/>
    <w:rsid w:val="0079166C"/>
    <w:rsid w:val="00850E24"/>
    <w:rsid w:val="00912A48"/>
    <w:rsid w:val="00970134"/>
    <w:rsid w:val="00C11E7E"/>
    <w:rsid w:val="00D11B43"/>
    <w:rsid w:val="00D67C7E"/>
    <w:rsid w:val="00D8783A"/>
    <w:rsid w:val="00E0161E"/>
    <w:rsid w:val="00E75837"/>
    <w:rsid w:val="00F17C73"/>
    <w:rsid w:val="00FC4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826A"/>
  <w15:chartTrackingRefBased/>
  <w15:docId w15:val="{E53F9D0E-CADA-4FF5-9938-BF5613A9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7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7C7E"/>
    <w:pPr>
      <w:ind w:left="720"/>
      <w:contextualSpacing/>
    </w:pPr>
  </w:style>
  <w:style w:type="paragraph" w:styleId="FootnoteText">
    <w:name w:val="footnote text"/>
    <w:basedOn w:val="Normal"/>
    <w:link w:val="FootnoteTextChar"/>
    <w:uiPriority w:val="99"/>
    <w:semiHidden/>
    <w:unhideWhenUsed/>
    <w:rsid w:val="00D67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C7E"/>
    <w:rPr>
      <w:sz w:val="20"/>
      <w:szCs w:val="20"/>
      <w:lang w:val="nl-BE"/>
    </w:rPr>
  </w:style>
  <w:style w:type="character" w:styleId="FootnoteReference">
    <w:name w:val="footnote reference"/>
    <w:aliases w:val="Footnote reference number,Footnote symbol,note TESI"/>
    <w:basedOn w:val="DefaultParagraphFont"/>
    <w:uiPriority w:val="99"/>
    <w:unhideWhenUsed/>
    <w:rsid w:val="00D67C7E"/>
    <w:rPr>
      <w:vertAlign w:val="superscript"/>
    </w:rPr>
  </w:style>
  <w:style w:type="table" w:styleId="TableGrid">
    <w:name w:val="Table Grid"/>
    <w:basedOn w:val="TableNormal"/>
    <w:uiPriority w:val="59"/>
    <w:rsid w:val="00D67C7E"/>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ACNumberAndLetter">
    <w:name w:val="IFAC NumberAndLetter"/>
    <w:basedOn w:val="ListParagraph"/>
    <w:autoRedefine/>
    <w:qFormat/>
    <w:rsid w:val="00D67C7E"/>
    <w:pPr>
      <w:numPr>
        <w:numId w:val="4"/>
      </w:numPr>
      <w:spacing w:after="200" w:line="276" w:lineRule="auto"/>
      <w:contextualSpacing w:val="0"/>
      <w:jc w:val="both"/>
    </w:pPr>
    <w:rPr>
      <w:rFonts w:ascii="Arial" w:eastAsia="Times New Roman" w:hAnsi="Arial" w:cs="Times New Roman"/>
      <w:kern w:val="20"/>
      <w:sz w:val="20"/>
      <w:szCs w:val="20"/>
      <w:lang w:val="en-US"/>
    </w:rPr>
  </w:style>
  <w:style w:type="paragraph" w:customStyle="1" w:styleId="Bullet1Indented">
    <w:name w:val="Bullet 1 Indented"/>
    <w:basedOn w:val="Normal"/>
    <w:qFormat/>
    <w:rsid w:val="00D67C7E"/>
    <w:pPr>
      <w:numPr>
        <w:numId w:val="3"/>
      </w:numPr>
      <w:tabs>
        <w:tab w:val="left" w:pos="1094"/>
      </w:tabs>
      <w:spacing w:before="120" w:after="0" w:line="280" w:lineRule="exact"/>
    </w:pPr>
    <w:rPr>
      <w:rFonts w:ascii="Arial" w:eastAsia="Calibri" w:hAnsi="Arial" w:cs="Times New Roman"/>
      <w:sz w:val="20"/>
      <w:lang w:val="en-US"/>
    </w:rPr>
  </w:style>
  <w:style w:type="paragraph" w:styleId="Header">
    <w:name w:val="header"/>
    <w:basedOn w:val="Normal"/>
    <w:link w:val="HeaderChar"/>
    <w:uiPriority w:val="99"/>
    <w:unhideWhenUsed/>
    <w:rsid w:val="00D67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7E"/>
    <w:rPr>
      <w:lang w:val="nl-BE"/>
    </w:rPr>
  </w:style>
  <w:style w:type="paragraph" w:styleId="Footer">
    <w:name w:val="footer"/>
    <w:basedOn w:val="Normal"/>
    <w:link w:val="FooterChar"/>
    <w:uiPriority w:val="99"/>
    <w:unhideWhenUsed/>
    <w:rsid w:val="00D67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7E"/>
    <w:rPr>
      <w:lang w:val="nl-BE"/>
    </w:rPr>
  </w:style>
  <w:style w:type="character" w:customStyle="1" w:styleId="ListParagraphChar">
    <w:name w:val="List Paragraph Char"/>
    <w:basedOn w:val="DefaultParagraphFont"/>
    <w:link w:val="ListParagraph"/>
    <w:uiPriority w:val="34"/>
    <w:locked/>
    <w:rsid w:val="00472C3D"/>
    <w:rPr>
      <w:lang w:val="nl-BE"/>
    </w:rPr>
  </w:style>
  <w:style w:type="paragraph" w:styleId="BalloonText">
    <w:name w:val="Balloon Text"/>
    <w:basedOn w:val="Normal"/>
    <w:link w:val="BalloonTextChar"/>
    <w:uiPriority w:val="99"/>
    <w:semiHidden/>
    <w:unhideWhenUsed/>
    <w:rsid w:val="00472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3D"/>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B3638-507E-46AC-AA4D-85DB9E6A3CAE}">
  <ds:schemaRefs>
    <ds:schemaRef ds:uri="http://schemas.microsoft.com/sharepoint/v3/contenttype/forms"/>
  </ds:schemaRefs>
</ds:datastoreItem>
</file>

<file path=customXml/itemProps2.xml><?xml version="1.0" encoding="utf-8"?>
<ds:datastoreItem xmlns:ds="http://schemas.openxmlformats.org/officeDocument/2006/customXml" ds:itemID="{CAFCCC18-833C-41E8-A6F7-1882E40ED125}">
  <ds:schemaRefs>
    <ds:schemaRef ds:uri="http://schemas.openxmlformats.org/officeDocument/2006/bibliography"/>
  </ds:schemaRefs>
</ds:datastoreItem>
</file>

<file path=customXml/itemProps3.xml><?xml version="1.0" encoding="utf-8"?>
<ds:datastoreItem xmlns:ds="http://schemas.openxmlformats.org/officeDocument/2006/customXml" ds:itemID="{24874431-D8D4-446F-BEB1-8651ECCF3EBB}">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8C0EDCBA-E19B-457F-BCFC-43295D00E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Vanbeveren Inge</dc:creator>
  <cp:keywords/>
  <dc:description/>
  <cp:lastModifiedBy>Inge Vanbeveren</cp:lastModifiedBy>
  <cp:revision>15</cp:revision>
  <dcterms:created xsi:type="dcterms:W3CDTF">2020-07-02T15:45:00Z</dcterms:created>
  <dcterms:modified xsi:type="dcterms:W3CDTF">2023-08-16T15:23:00Z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4906200</vt:r8>
  </property>
  <property fmtid="{D5CDD505-2E9C-101B-9397-08002B2CF9AE}" pid="4" name="MediaServiceImageTags">
    <vt:lpwstr/>
  </property>
</Properties>
</file>