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8FE5" w14:textId="4D40B32C" w:rsidR="0054198A" w:rsidRDefault="000D2214" w:rsidP="000D2214">
      <w:pPr>
        <w:spacing w:after="120" w:line="240" w:lineRule="auto"/>
        <w:jc w:val="both"/>
        <w:outlineLvl w:val="3"/>
        <w:rPr>
          <w:rFonts w:ascii="Times New Roman" w:eastAsia="Calibri" w:hAnsi="Times New Roman" w:cs="Times New Roman"/>
          <w:caps/>
          <w:sz w:val="24"/>
          <w:szCs w:val="24"/>
        </w:rPr>
      </w:pPr>
      <w:r w:rsidRPr="000D2214">
        <w:rPr>
          <w:rFonts w:ascii="Times New Roman" w:eastAsia="Calibri" w:hAnsi="Times New Roman" w:cs="Times New Roman"/>
          <w:caps/>
          <w:sz w:val="24"/>
          <w:szCs w:val="24"/>
        </w:rPr>
        <w:t xml:space="preserve">Annexe 13 – </w:t>
      </w:r>
      <w:r w:rsidR="0054198A" w:rsidRPr="000D2214">
        <w:rPr>
          <w:rFonts w:ascii="Times New Roman" w:eastAsia="Calibri" w:hAnsi="Times New Roman" w:cs="Times New Roman"/>
          <w:caps/>
          <w:sz w:val="24"/>
          <w:szCs w:val="24"/>
        </w:rPr>
        <w:t>Diverses dispositions législatives</w:t>
      </w:r>
      <w:r w:rsidR="005D5DFA">
        <w:rPr>
          <w:rFonts w:ascii="Times New Roman" w:eastAsia="Calibri" w:hAnsi="Times New Roman" w:cs="Times New Roman"/>
          <w:caps/>
          <w:sz w:val="24"/>
          <w:szCs w:val="24"/>
        </w:rPr>
        <w:t xml:space="preserve"> ET NORMATIVES</w:t>
      </w:r>
      <w:r w:rsidR="0054198A" w:rsidRPr="000D2214">
        <w:rPr>
          <w:rFonts w:ascii="Times New Roman" w:eastAsia="Calibri" w:hAnsi="Times New Roman" w:cs="Times New Roman"/>
          <w:caps/>
          <w:sz w:val="24"/>
          <w:szCs w:val="24"/>
        </w:rPr>
        <w:t xml:space="preserve"> (non exhaustives) applicables dans la section </w:t>
      </w:r>
      <w:r w:rsidR="005D5DFA">
        <w:rPr>
          <w:rFonts w:ascii="Times New Roman" w:eastAsia="Calibri" w:hAnsi="Times New Roman" w:cs="Times New Roman"/>
          <w:caps/>
          <w:sz w:val="24"/>
          <w:szCs w:val="24"/>
        </w:rPr>
        <w:t xml:space="preserve">1.5.5. </w:t>
      </w:r>
      <w:r w:rsidR="0054198A" w:rsidRPr="000D2214">
        <w:rPr>
          <w:rFonts w:ascii="Times New Roman" w:eastAsia="Calibri" w:hAnsi="Times New Roman" w:cs="Times New Roman"/>
          <w:caps/>
          <w:sz w:val="24"/>
          <w:szCs w:val="24"/>
        </w:rPr>
        <w:t>et commentaires éventuels</w:t>
      </w:r>
    </w:p>
    <w:p w14:paraId="4F296EFA" w14:textId="64262120" w:rsidR="005D5DFA" w:rsidRPr="005D5DFA" w:rsidRDefault="002A34EA" w:rsidP="005D5DFA">
      <w:pPr>
        <w:pStyle w:val="ListParagraph"/>
        <w:numPr>
          <w:ilvl w:val="0"/>
          <w:numId w:val="3"/>
        </w:numPr>
        <w:spacing w:after="120" w:line="240" w:lineRule="auto"/>
        <w:jc w:val="both"/>
        <w:outlineLvl w:val="3"/>
        <w:rPr>
          <w:rFonts w:ascii="Times New Roman" w:eastAsia="Calibri" w:hAnsi="Times New Roman" w:cs="Times New Roman"/>
          <w:caps/>
          <w:sz w:val="24"/>
          <w:szCs w:val="24"/>
        </w:rPr>
      </w:pPr>
      <w:r>
        <w:rPr>
          <w:rFonts w:ascii="Times New Roman" w:eastAsia="Calibri" w:hAnsi="Times New Roman" w:cs="Times New Roman"/>
          <w:caps/>
          <w:sz w:val="24"/>
          <w:szCs w:val="24"/>
        </w:rPr>
        <w:t>Diverses dispositions législatives (non exhaistives)</w:t>
      </w:r>
    </w:p>
    <w:p w14:paraId="77312226" w14:textId="77777777" w:rsidR="0054198A" w:rsidRPr="00315BC6"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Le titre III du livre 3 du Code de droit économique traite des obligations générales des entreprises et son chapitre 2 traite de la comptabilité des entreprises. Les dispositions qui y sont reprises visent entre autres le caractère complet de la comptabilité, l’obligation de procéder, une fois l'an au moins, avec bonne foi et prudence, aux opérations de relevé, de vérification, d'examen et d'évaluation nécessaires pour établir à la date choisie un inventaire complet de ses avoirs et droits de toute nature, de ses dettes, obligations et engagements de toute </w:t>
      </w:r>
      <w:proofErr w:type="gramStart"/>
      <w:r w:rsidRPr="00315BC6">
        <w:rPr>
          <w:rFonts w:ascii="Times New Roman" w:eastAsia="Calibri" w:hAnsi="Times New Roman" w:cs="Times New Roman"/>
          <w:sz w:val="24"/>
          <w:szCs w:val="24"/>
        </w:rPr>
        <w:t>nature relatifs</w:t>
      </w:r>
      <w:proofErr w:type="gramEnd"/>
      <w:r w:rsidRPr="00315BC6">
        <w:rPr>
          <w:rFonts w:ascii="Times New Roman" w:eastAsia="Calibri" w:hAnsi="Times New Roman" w:cs="Times New Roman"/>
          <w:sz w:val="24"/>
          <w:szCs w:val="24"/>
        </w:rPr>
        <w:t xml:space="preserve"> à son activité et des moyens propres qui y sont affectés. </w:t>
      </w:r>
    </w:p>
    <w:p w14:paraId="32F80377" w14:textId="77777777" w:rsidR="0054198A" w:rsidRPr="00315BC6" w:rsidRDefault="0054198A" w:rsidP="0054198A">
      <w:pPr>
        <w:tabs>
          <w:tab w:val="left" w:pos="567"/>
        </w:tabs>
        <w:spacing w:after="120" w:line="240" w:lineRule="auto"/>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Le non-respect de ces dispositions est traité par l’article XV.75. du même code, puisque une sanction pénale est prévue pour (i) les personnes physiques qui exercent une activité professionnelle à titre indépendant et les administrateurs, gérants, directeurs ou fondés de pouvoirs de personnes morales qui sciemment contreviennent aux dispositions des articles III.82 et III.83, alinéas 1er et 3, des articles III.84 à III.89 ou des arrêtés pris en exécution de l'article III.84, alinéa 6, de l'article III.87, § 2, de l'article III.89, § 2 et des articles III.90 et III.91. </w:t>
      </w:r>
      <w:proofErr w:type="gramStart"/>
      <w:r w:rsidRPr="00315BC6">
        <w:rPr>
          <w:rFonts w:ascii="Times New Roman" w:eastAsia="Calibri" w:hAnsi="Times New Roman" w:cs="Times New Roman"/>
          <w:sz w:val="24"/>
          <w:szCs w:val="24"/>
        </w:rPr>
        <w:t>et</w:t>
      </w:r>
      <w:proofErr w:type="gramEnd"/>
      <w:r w:rsidRPr="00315BC6">
        <w:rPr>
          <w:rFonts w:ascii="Times New Roman" w:eastAsia="Calibri" w:hAnsi="Times New Roman" w:cs="Times New Roman"/>
          <w:sz w:val="24"/>
          <w:szCs w:val="24"/>
        </w:rPr>
        <w:t xml:space="preserve"> (ii) pour ceux qui en qualité de commissaire, de réviseur ou d'expert indépendant ont attesté ou approuvé des comptes, comptes annuels, bilans, comptes de résultats ou comptes consolidés d'entreprises, lorsque les dispositions visées au point 1° n'ont pas été respectées, soit en sachant qu'elles ne l'avaient pas été, soit en ayant pas accompli les diligences normales pour s'assurer qu'elles avaient été respectées.</w:t>
      </w:r>
    </w:p>
    <w:p w14:paraId="6FA9C937" w14:textId="77777777" w:rsidR="0054198A" w:rsidRPr="00315BC6"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Le Livre 3 de l’AR/CSA aborde différents objectifs généraux relatifs aux comptes annuels comme celui stipulant par exemple (i) que les comptes annuels doivent donner une image fidèle du </w:t>
      </w:r>
      <w:r w:rsidRPr="00315BC6">
        <w:rPr>
          <w:rFonts w:ascii="Times New Roman" w:eastAsia="Times New Roman" w:hAnsi="Times New Roman" w:cs="Times New Roman"/>
          <w:sz w:val="24"/>
          <w:szCs w:val="24"/>
        </w:rPr>
        <w:t>patrimoine</w:t>
      </w:r>
      <w:r w:rsidRPr="00315BC6">
        <w:rPr>
          <w:rFonts w:ascii="Times New Roman" w:eastAsia="Calibri" w:hAnsi="Times New Roman" w:cs="Times New Roman"/>
          <w:sz w:val="24"/>
          <w:szCs w:val="24"/>
        </w:rPr>
        <w:t xml:space="preserve">, de la situation financière ainsi que du résultat de la société, de l'ASBL, de l'AISBL ou de la fondation, (ii) que si cet objectif n’est pas atteint, des informations complémentaires doivent être fournies dans l'annexe, (iii) que sont mentionnés dans l'annexe, les droits et engagements qui ne figurent pas au bilan et qui sont susceptibles d'avoir une influence importante sur le patrimoine, sur la situation financière ou sur le résultat de la société, de l'ASBL, de l'AISBL ou de la fondation, (iv) que les droits et engagements importants qui ne sont pas susceptibles d'être quantifiés, font l'objet de mentions appropriées dans l'annexe et (v) que le bilan d'ouverture d'un exercice doit, sans préjudice à l'application de l'article 3:59, alinéa 2, correspondre au bilan de clôture de l'exercice précédent. </w:t>
      </w:r>
    </w:p>
    <w:p w14:paraId="5F992CC7" w14:textId="77777777" w:rsidR="0054198A" w:rsidRPr="00F13FDE"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L’article </w:t>
      </w:r>
      <w:proofErr w:type="gramStart"/>
      <w:r w:rsidRPr="00315BC6">
        <w:rPr>
          <w:rFonts w:ascii="Times New Roman" w:eastAsia="Calibri" w:hAnsi="Times New Roman" w:cs="Times New Roman"/>
          <w:sz w:val="24"/>
          <w:szCs w:val="24"/>
        </w:rPr>
        <w:t>3:</w:t>
      </w:r>
      <w:proofErr w:type="gramEnd"/>
      <w:r w:rsidRPr="00315BC6">
        <w:rPr>
          <w:rFonts w:ascii="Times New Roman" w:eastAsia="Calibri" w:hAnsi="Times New Roman" w:cs="Times New Roman"/>
          <w:sz w:val="24"/>
          <w:szCs w:val="24"/>
        </w:rPr>
        <w:t xml:space="preserve">58, § 5 AR/CSA apporte des précisions quant à la notion de matérialité/seuil de signification : « On entend par l'importance significative, le statut d'une information dont on peut </w:t>
      </w:r>
      <w:r w:rsidRPr="00315BC6">
        <w:rPr>
          <w:rFonts w:ascii="Times New Roman" w:eastAsia="Times New Roman" w:hAnsi="Times New Roman" w:cs="Times New Roman"/>
          <w:sz w:val="24"/>
          <w:szCs w:val="24"/>
        </w:rPr>
        <w:t>raisonnablement</w:t>
      </w:r>
      <w:r w:rsidRPr="00315BC6">
        <w:rPr>
          <w:rFonts w:ascii="Times New Roman" w:eastAsia="Calibri" w:hAnsi="Times New Roman" w:cs="Times New Roman"/>
          <w:sz w:val="24"/>
          <w:szCs w:val="24"/>
        </w:rPr>
        <w:t xml:space="preserve"> penser que l'omission ou l'inexactitude risque d'influencer les décisions que prennent les utilisateurs sur la base des comptes annuels ou consolidés de la société, ou sur la base des comptes annuels de l'ASBL, de l'AISBL ou de la fondation. L'importance significative de chaque élément est évaluée dans le contexte d'autres éléments similaires. »</w:t>
      </w:r>
    </w:p>
    <w:p w14:paraId="1257BA6B" w14:textId="77777777" w:rsidR="0054198A"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L’article </w:t>
      </w:r>
      <w:proofErr w:type="gramStart"/>
      <w:r w:rsidRPr="00315BC6">
        <w:rPr>
          <w:rFonts w:ascii="Times New Roman" w:eastAsia="Calibri" w:hAnsi="Times New Roman" w:cs="Times New Roman"/>
          <w:sz w:val="24"/>
          <w:szCs w:val="24"/>
        </w:rPr>
        <w:t>3:</w:t>
      </w:r>
      <w:proofErr w:type="gramEnd"/>
      <w:r w:rsidRPr="00315BC6">
        <w:rPr>
          <w:rFonts w:ascii="Times New Roman" w:eastAsia="Calibri" w:hAnsi="Times New Roman" w:cs="Times New Roman"/>
          <w:sz w:val="24"/>
          <w:szCs w:val="24"/>
        </w:rPr>
        <w:t xml:space="preserve">59 alinéa 2 de l’AR/CSA précise « Si les chiffres relatifs à l'exercice ne sont pas comparables à ceux de l'exercice précédent, les chiffres de l'exercice précédent </w:t>
      </w:r>
      <w:r w:rsidRPr="00315BC6">
        <w:rPr>
          <w:rFonts w:ascii="Times New Roman" w:eastAsia="Calibri" w:hAnsi="Times New Roman" w:cs="Times New Roman"/>
          <w:b/>
          <w:bCs/>
          <w:sz w:val="24"/>
          <w:szCs w:val="24"/>
        </w:rPr>
        <w:t>peuvent être redressés</w:t>
      </w:r>
      <w:r w:rsidRPr="00315BC6">
        <w:rPr>
          <w:rFonts w:ascii="Times New Roman" w:eastAsia="Calibri" w:hAnsi="Times New Roman" w:cs="Times New Roman"/>
          <w:sz w:val="24"/>
          <w:szCs w:val="24"/>
        </w:rPr>
        <w:t xml:space="preserve"> en vue de les rendre comparables; en ce cas, l'annexe doit mentionner et commenter, parmi les règles d'évaluation, avec renvoi aux rubriques concernées, les redressements opérés, si ceux-ci ne sont pas sans signification. Si les chiffres de l'exercice précédent ne sont pas redressés, l'annexe doit comporter les indications nécessaires pour permettre la comparaison ».</w:t>
      </w:r>
    </w:p>
    <w:p w14:paraId="36A35B4F" w14:textId="77777777" w:rsidR="008E1D61" w:rsidRPr="00315BC6" w:rsidRDefault="008E1D61" w:rsidP="008E1D61">
      <w:pPr>
        <w:tabs>
          <w:tab w:val="left" w:pos="567"/>
        </w:tabs>
        <w:spacing w:after="120" w:line="240" w:lineRule="auto"/>
        <w:jc w:val="both"/>
        <w:rPr>
          <w:rFonts w:ascii="Times New Roman" w:eastAsia="Calibri" w:hAnsi="Times New Roman" w:cs="Times New Roman"/>
          <w:sz w:val="24"/>
          <w:szCs w:val="24"/>
        </w:rPr>
      </w:pPr>
    </w:p>
    <w:p w14:paraId="4A975278" w14:textId="0EC9CAF2" w:rsidR="0054198A" w:rsidRPr="002A34EA" w:rsidRDefault="008E1D61" w:rsidP="002A34EA">
      <w:pPr>
        <w:pStyle w:val="ListParagraph"/>
        <w:numPr>
          <w:ilvl w:val="0"/>
          <w:numId w:val="3"/>
        </w:numPr>
        <w:spacing w:after="120" w:line="240" w:lineRule="auto"/>
        <w:jc w:val="both"/>
        <w:outlineLvl w:val="3"/>
        <w:rPr>
          <w:rFonts w:ascii="Times New Roman" w:eastAsia="Calibri" w:hAnsi="Times New Roman" w:cs="Times New Roman"/>
          <w:caps/>
          <w:sz w:val="24"/>
          <w:szCs w:val="24"/>
        </w:rPr>
      </w:pPr>
      <w:r>
        <w:rPr>
          <w:rFonts w:ascii="Times New Roman" w:eastAsia="Calibri" w:hAnsi="Times New Roman" w:cs="Times New Roman"/>
          <w:caps/>
          <w:sz w:val="24"/>
          <w:szCs w:val="24"/>
        </w:rPr>
        <w:lastRenderedPageBreak/>
        <w:t>Diverses d</w:t>
      </w:r>
      <w:r w:rsidR="0054198A" w:rsidRPr="002A34EA">
        <w:rPr>
          <w:rFonts w:ascii="Times New Roman" w:eastAsia="Calibri" w:hAnsi="Times New Roman" w:cs="Times New Roman"/>
          <w:caps/>
          <w:sz w:val="24"/>
          <w:szCs w:val="24"/>
        </w:rPr>
        <w:t xml:space="preserve">ispositions normatives (non exhaustives) </w:t>
      </w:r>
    </w:p>
    <w:p w14:paraId="2A4396E5" w14:textId="77777777" w:rsidR="0054198A" w:rsidRPr="00315BC6"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Dans le cas de l’existence d’une anomalie factuelle significative, le commissaire, outre l’indication de l’impact de celle-ci sur l’image fidèle des comptes annuels, (ISA 705) doit mentionner dans la seconde partie de son rapport de commissaire, que l’organe d’administration n’a pas respecté les dispositions du CSA et de l’AR/CSA (norme complémentaire). En effet, celles-ci requièrent que les comptes annuels arrêtés par l’organe d’administration donnent une image fidèle du patrimoine, de la situation financière ainsi que du résultat de la société, de l'ASBL, de l'AISBL ou de la fondation.</w:t>
      </w:r>
    </w:p>
    <w:p w14:paraId="7E0085BC" w14:textId="77777777" w:rsidR="0054198A" w:rsidRPr="00315BC6"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La norme ISA 560, </w:t>
      </w:r>
      <w:r w:rsidRPr="00315BC6">
        <w:rPr>
          <w:rFonts w:ascii="Times New Roman" w:eastAsia="Calibri" w:hAnsi="Times New Roman" w:cs="Times New Roman"/>
          <w:i/>
          <w:iCs/>
          <w:sz w:val="24"/>
          <w:szCs w:val="24"/>
        </w:rPr>
        <w:t>Evénements postérieurs à la clôture</w:t>
      </w:r>
      <w:r w:rsidRPr="00315BC6">
        <w:rPr>
          <w:rFonts w:ascii="Times New Roman" w:eastAsia="Calibri" w:hAnsi="Times New Roman" w:cs="Times New Roman"/>
          <w:sz w:val="24"/>
          <w:szCs w:val="24"/>
        </w:rPr>
        <w:t xml:space="preserve">, (par. 10 à 13) traite des faits portés à la connaissance de l'auditeur après la date de son rapport d'audit </w:t>
      </w:r>
      <w:r w:rsidRPr="00315BC6">
        <w:rPr>
          <w:rFonts w:ascii="Times New Roman" w:eastAsia="Calibri" w:hAnsi="Times New Roman" w:cs="Times New Roman"/>
          <w:b/>
          <w:bCs/>
          <w:sz w:val="24"/>
          <w:szCs w:val="24"/>
        </w:rPr>
        <w:t>mais avant</w:t>
      </w:r>
      <w:r w:rsidRPr="00315BC6">
        <w:rPr>
          <w:rFonts w:ascii="Times New Roman" w:eastAsia="Calibri" w:hAnsi="Times New Roman" w:cs="Times New Roman"/>
          <w:sz w:val="24"/>
          <w:szCs w:val="24"/>
        </w:rPr>
        <w:t xml:space="preserve"> la date de publication des états financiers. En Belgique, l’on considère généralement que l’approbation par l’assemblée générale est la phase ultime quant au processus d’établissement des comptes annuels. </w:t>
      </w:r>
    </w:p>
    <w:p w14:paraId="7517867D" w14:textId="10CFF896" w:rsidR="0054198A" w:rsidRPr="00315BC6"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La norme ISA 560, </w:t>
      </w:r>
      <w:r w:rsidRPr="00315BC6">
        <w:rPr>
          <w:rFonts w:ascii="Times New Roman" w:eastAsia="Calibri" w:hAnsi="Times New Roman" w:cs="Times New Roman"/>
          <w:i/>
          <w:iCs/>
          <w:sz w:val="24"/>
          <w:szCs w:val="24"/>
        </w:rPr>
        <w:t>Evénements postérieurs à la clôture</w:t>
      </w:r>
      <w:r w:rsidRPr="00315BC6">
        <w:rPr>
          <w:rFonts w:ascii="Times New Roman" w:eastAsia="Calibri" w:hAnsi="Times New Roman" w:cs="Times New Roman"/>
          <w:sz w:val="24"/>
          <w:szCs w:val="24"/>
        </w:rPr>
        <w:t xml:space="preserve">, (par. 14 à 17) traite également des faits portés à la connaissance de l'auditeur après la date de son rapport d'audit </w:t>
      </w:r>
      <w:r w:rsidRPr="00315BC6">
        <w:rPr>
          <w:rFonts w:ascii="Times New Roman" w:eastAsia="Calibri" w:hAnsi="Times New Roman" w:cs="Times New Roman"/>
          <w:b/>
          <w:bCs/>
          <w:sz w:val="24"/>
          <w:szCs w:val="24"/>
        </w:rPr>
        <w:t>mais après</w:t>
      </w:r>
      <w:r w:rsidRPr="00315BC6">
        <w:rPr>
          <w:rFonts w:ascii="Times New Roman" w:eastAsia="Calibri" w:hAnsi="Times New Roman" w:cs="Times New Roman"/>
          <w:sz w:val="24"/>
          <w:szCs w:val="24"/>
        </w:rPr>
        <w:t xml:space="preserve"> la date de publication des états financiers (voir également section 1.5.7.).</w:t>
      </w:r>
    </w:p>
    <w:p w14:paraId="228F59BB" w14:textId="77777777" w:rsidR="0054198A" w:rsidRPr="00315BC6" w:rsidRDefault="0054198A" w:rsidP="0054198A">
      <w:pPr>
        <w:numPr>
          <w:ilvl w:val="0"/>
          <w:numId w:val="1"/>
        </w:numPr>
        <w:tabs>
          <w:tab w:val="left" w:pos="567"/>
        </w:tabs>
        <w:spacing w:after="120" w:line="240" w:lineRule="auto"/>
        <w:ind w:left="0" w:firstLine="0"/>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La norme ISA 710, </w:t>
      </w:r>
      <w:r w:rsidRPr="00315BC6">
        <w:rPr>
          <w:rFonts w:ascii="Times New Roman" w:eastAsia="Calibri" w:hAnsi="Times New Roman" w:cs="Times New Roman"/>
          <w:i/>
          <w:iCs/>
          <w:sz w:val="24"/>
          <w:szCs w:val="24"/>
        </w:rPr>
        <w:t>Données comparatives - Chiffres correspondants et états financiers comparatifs</w:t>
      </w:r>
      <w:r w:rsidRPr="00315BC6">
        <w:rPr>
          <w:rFonts w:ascii="Times New Roman" w:eastAsia="Calibri" w:hAnsi="Times New Roman" w:cs="Times New Roman"/>
          <w:sz w:val="24"/>
          <w:szCs w:val="24"/>
        </w:rPr>
        <w:t>, précise au paragraphe 12 : « </w:t>
      </w:r>
      <w:r w:rsidRPr="00315BC6">
        <w:rPr>
          <w:rFonts w:ascii="Times New Roman" w:eastAsia="Calibri" w:hAnsi="Times New Roman" w:cs="Times New Roman"/>
          <w:i/>
          <w:iCs/>
          <w:sz w:val="24"/>
          <w:szCs w:val="24"/>
        </w:rPr>
        <w:t xml:space="preserve">Si l'auditeur recueille des éléments probants faisant apparaître qu'il existe une anomalie significative dans les états financiers de la période précédente sur lesquels une </w:t>
      </w:r>
      <w:r w:rsidRPr="00315BC6">
        <w:rPr>
          <w:rFonts w:ascii="Times New Roman" w:eastAsia="Calibri" w:hAnsi="Times New Roman" w:cs="Times New Roman"/>
          <w:b/>
          <w:bCs/>
          <w:i/>
          <w:iCs/>
          <w:sz w:val="24"/>
          <w:szCs w:val="24"/>
        </w:rPr>
        <w:t>opinion d'audit non modifiée</w:t>
      </w:r>
      <w:r w:rsidRPr="00315BC6">
        <w:rPr>
          <w:rFonts w:ascii="Times New Roman" w:eastAsia="Calibri" w:hAnsi="Times New Roman" w:cs="Times New Roman"/>
          <w:i/>
          <w:iCs/>
          <w:sz w:val="24"/>
          <w:szCs w:val="24"/>
        </w:rPr>
        <w:t xml:space="preserve"> a été précédemment émise, et que les chiffres correspondants n'ont pas été correctement retraités ou que des informations appropriées n'ont pas été fournies, l'auditeur doit exprimer, dans son rapport d'audit sur les états financiers de la période en cours, une opinion avec réserve ou une opinion défavorable portant sur les chiffres correspondants qui y sont présentés.</w:t>
      </w:r>
      <w:r w:rsidRPr="00315BC6">
        <w:rPr>
          <w:rFonts w:ascii="Times New Roman" w:eastAsia="Calibri" w:hAnsi="Times New Roman" w:cs="Times New Roman"/>
          <w:sz w:val="24"/>
          <w:szCs w:val="24"/>
        </w:rPr>
        <w:t xml:space="preserve"> ». </w:t>
      </w:r>
    </w:p>
    <w:p w14:paraId="70721932" w14:textId="77777777" w:rsidR="0054198A" w:rsidRPr="00315BC6" w:rsidRDefault="0054198A" w:rsidP="0054198A">
      <w:pPr>
        <w:tabs>
          <w:tab w:val="left" w:pos="567"/>
        </w:tabs>
        <w:spacing w:after="120" w:line="240" w:lineRule="auto"/>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Cette diligence est clarifiée par le paragraphe A6 : « </w:t>
      </w:r>
      <w:r w:rsidRPr="00315BC6">
        <w:rPr>
          <w:rFonts w:ascii="Times New Roman" w:eastAsia="Calibri" w:hAnsi="Times New Roman" w:cs="Times New Roman"/>
          <w:i/>
          <w:iCs/>
          <w:sz w:val="24"/>
          <w:szCs w:val="24"/>
        </w:rPr>
        <w:t xml:space="preserve">Lorsque les états financiers de la période précédente sont erronés et n'ont pas été corrigés </w:t>
      </w:r>
      <w:r w:rsidRPr="00315BC6">
        <w:rPr>
          <w:rFonts w:ascii="Times New Roman" w:eastAsia="Calibri" w:hAnsi="Times New Roman" w:cs="Times New Roman"/>
          <w:b/>
          <w:bCs/>
          <w:i/>
          <w:iCs/>
          <w:sz w:val="24"/>
          <w:szCs w:val="24"/>
        </w:rPr>
        <w:t>et que le rapport de l'auditeur n'a pas été réémis</w:t>
      </w:r>
      <w:r w:rsidRPr="00315BC6">
        <w:rPr>
          <w:rFonts w:ascii="Times New Roman" w:eastAsia="Calibri" w:hAnsi="Times New Roman" w:cs="Times New Roman"/>
          <w:i/>
          <w:iCs/>
          <w:sz w:val="24"/>
          <w:szCs w:val="24"/>
        </w:rPr>
        <w:t xml:space="preserve">, mais que les chiffres correspondants ont été correctement retraités ou </w:t>
      </w:r>
      <w:r w:rsidRPr="00315BC6">
        <w:rPr>
          <w:rFonts w:ascii="Times New Roman" w:eastAsia="Calibri" w:hAnsi="Times New Roman" w:cs="Times New Roman"/>
          <w:b/>
          <w:bCs/>
          <w:i/>
          <w:iCs/>
          <w:sz w:val="24"/>
          <w:szCs w:val="24"/>
        </w:rPr>
        <w:t>que des informations appropriées ont été fournies dans les états</w:t>
      </w:r>
      <w:r w:rsidRPr="00315BC6">
        <w:rPr>
          <w:rFonts w:ascii="Times New Roman" w:eastAsia="Calibri" w:hAnsi="Times New Roman" w:cs="Times New Roman"/>
          <w:i/>
          <w:iCs/>
          <w:sz w:val="24"/>
          <w:szCs w:val="24"/>
        </w:rPr>
        <w:t xml:space="preserve"> </w:t>
      </w:r>
      <w:r w:rsidRPr="00315BC6">
        <w:rPr>
          <w:rFonts w:ascii="Times New Roman" w:eastAsia="Calibri" w:hAnsi="Times New Roman" w:cs="Times New Roman"/>
          <w:b/>
          <w:bCs/>
          <w:i/>
          <w:iCs/>
          <w:sz w:val="24"/>
          <w:szCs w:val="24"/>
        </w:rPr>
        <w:t>financiers de la période en cours</w:t>
      </w:r>
      <w:r w:rsidRPr="00315BC6">
        <w:rPr>
          <w:rFonts w:ascii="Times New Roman" w:eastAsia="Calibri" w:hAnsi="Times New Roman" w:cs="Times New Roman"/>
          <w:i/>
          <w:iCs/>
          <w:sz w:val="24"/>
          <w:szCs w:val="24"/>
        </w:rPr>
        <w:t>, le rapport de l'auditeur peut inclure un paragraphe d'observations décrivant ces circonstances et renvoyant, le cas échéant, aux informations figurant dans les états financiers et décrivant ce point de manière détaillée (voir norme ISA 706 (révisée)).</w:t>
      </w:r>
      <w:r w:rsidRPr="00315BC6">
        <w:rPr>
          <w:rFonts w:ascii="Times New Roman" w:eastAsia="Calibri" w:hAnsi="Times New Roman" w:cs="Times New Roman"/>
          <w:sz w:val="24"/>
          <w:szCs w:val="24"/>
        </w:rPr>
        <w:t xml:space="preserve"> ». </w:t>
      </w:r>
    </w:p>
    <w:p w14:paraId="643D9131" w14:textId="77777777" w:rsidR="0054198A" w:rsidRPr="00315BC6" w:rsidRDefault="0054198A" w:rsidP="0054198A">
      <w:pPr>
        <w:tabs>
          <w:tab w:val="left" w:pos="567"/>
        </w:tabs>
        <w:spacing w:after="120" w:line="240" w:lineRule="auto"/>
        <w:jc w:val="both"/>
        <w:rPr>
          <w:rFonts w:ascii="Times New Roman" w:eastAsia="Calibri" w:hAnsi="Times New Roman" w:cs="Times New Roman"/>
          <w:sz w:val="24"/>
          <w:szCs w:val="24"/>
        </w:rPr>
      </w:pPr>
      <w:r w:rsidRPr="00315BC6">
        <w:rPr>
          <w:rFonts w:ascii="Times New Roman" w:eastAsia="Calibri" w:hAnsi="Times New Roman" w:cs="Times New Roman"/>
          <w:sz w:val="24"/>
          <w:szCs w:val="24"/>
        </w:rPr>
        <w:t xml:space="preserve">Le paragraphe A3 de la norme 710 précitée précise (dans le cas d’une </w:t>
      </w:r>
      <w:r w:rsidRPr="00315BC6">
        <w:rPr>
          <w:rFonts w:ascii="Times New Roman" w:eastAsia="Calibri" w:hAnsi="Times New Roman" w:cs="Times New Roman"/>
          <w:b/>
          <w:bCs/>
          <w:sz w:val="24"/>
          <w:szCs w:val="24"/>
        </w:rPr>
        <w:t>opinion modifiée l’exercice précédent</w:t>
      </w:r>
      <w:r w:rsidRPr="00315BC6">
        <w:rPr>
          <w:rFonts w:ascii="Times New Roman" w:eastAsia="Calibri" w:hAnsi="Times New Roman" w:cs="Times New Roman"/>
          <w:sz w:val="24"/>
          <w:szCs w:val="24"/>
        </w:rPr>
        <w:t xml:space="preserve">) que : </w:t>
      </w:r>
      <w:r w:rsidRPr="00315BC6">
        <w:rPr>
          <w:rFonts w:ascii="Times New Roman" w:eastAsia="Calibri" w:hAnsi="Times New Roman" w:cs="Times New Roman"/>
          <w:i/>
          <w:iCs/>
          <w:sz w:val="24"/>
          <w:szCs w:val="24"/>
        </w:rPr>
        <w:t xml:space="preserve">« Lorsque le rapport de l'auditeur sur la période précédente, tel qu'émis précédemment, comportait une opinion avec réserve, l'impossibilité d'exprimer une opinion, ou une opinion défavorable, et que le point ayant donné lieu à l'opinion modifiée </w:t>
      </w:r>
      <w:r w:rsidRPr="00315BC6">
        <w:rPr>
          <w:rFonts w:ascii="Times New Roman" w:eastAsia="Calibri" w:hAnsi="Times New Roman" w:cs="Times New Roman"/>
          <w:b/>
          <w:bCs/>
          <w:i/>
          <w:iCs/>
          <w:sz w:val="24"/>
          <w:szCs w:val="24"/>
        </w:rPr>
        <w:t>a été résolu</w:t>
      </w:r>
      <w:r w:rsidRPr="00315BC6">
        <w:rPr>
          <w:rFonts w:ascii="Times New Roman" w:eastAsia="Calibri" w:hAnsi="Times New Roman" w:cs="Times New Roman"/>
          <w:i/>
          <w:iCs/>
          <w:sz w:val="24"/>
          <w:szCs w:val="24"/>
        </w:rPr>
        <w:t xml:space="preserve"> et correctement comptabilisé ou inclus dans l'information fournie dans les états financiers, </w:t>
      </w:r>
      <w:r w:rsidRPr="00315BC6">
        <w:rPr>
          <w:rFonts w:ascii="Times New Roman" w:eastAsia="Calibri" w:hAnsi="Times New Roman" w:cs="Times New Roman"/>
          <w:b/>
          <w:bCs/>
          <w:i/>
          <w:iCs/>
          <w:sz w:val="24"/>
          <w:szCs w:val="24"/>
        </w:rPr>
        <w:t>conformément au référentiel comptable applicable</w:t>
      </w:r>
      <w:r w:rsidRPr="00315BC6">
        <w:rPr>
          <w:rFonts w:ascii="Times New Roman" w:eastAsia="Calibri" w:hAnsi="Times New Roman" w:cs="Times New Roman"/>
          <w:i/>
          <w:iCs/>
          <w:sz w:val="24"/>
          <w:szCs w:val="24"/>
        </w:rPr>
        <w:t>, l'opinion de l'auditeur sur la période en cours n’a pas à faire référence à l’opinion modifiée précédente.</w:t>
      </w:r>
      <w:r w:rsidRPr="00315BC6">
        <w:rPr>
          <w:rFonts w:ascii="Times New Roman" w:eastAsia="Calibri" w:hAnsi="Times New Roman" w:cs="Times New Roman"/>
          <w:sz w:val="24"/>
          <w:szCs w:val="24"/>
        </w:rPr>
        <w:t xml:space="preserve"> ». </w:t>
      </w:r>
    </w:p>
    <w:p w14:paraId="28F7F2B9" w14:textId="77777777" w:rsidR="0054198A" w:rsidRPr="00315BC6" w:rsidRDefault="0054198A" w:rsidP="0054198A">
      <w:pPr>
        <w:tabs>
          <w:tab w:val="left" w:pos="567"/>
        </w:tabs>
        <w:spacing w:after="120" w:line="240" w:lineRule="auto"/>
        <w:jc w:val="both"/>
        <w:rPr>
          <w:rFonts w:ascii="Times New Roman" w:eastAsia="Calibri" w:hAnsi="Times New Roman" w:cs="Times New Roman"/>
          <w:i/>
          <w:iCs/>
          <w:sz w:val="24"/>
          <w:szCs w:val="24"/>
        </w:rPr>
      </w:pPr>
      <w:r w:rsidRPr="00315BC6">
        <w:rPr>
          <w:rFonts w:ascii="Times New Roman" w:eastAsia="Calibri" w:hAnsi="Times New Roman" w:cs="Times New Roman"/>
          <w:sz w:val="24"/>
          <w:szCs w:val="24"/>
        </w:rPr>
        <w:t xml:space="preserve">Le paragraphe 11 de la norme 710 précitée stipule (dans le cas d’une </w:t>
      </w:r>
      <w:r w:rsidRPr="00315BC6">
        <w:rPr>
          <w:rFonts w:ascii="Times New Roman" w:eastAsia="Calibri" w:hAnsi="Times New Roman" w:cs="Times New Roman"/>
          <w:b/>
          <w:bCs/>
          <w:sz w:val="24"/>
          <w:szCs w:val="24"/>
        </w:rPr>
        <w:t>opinion modifiée l’exercice précédent</w:t>
      </w:r>
      <w:r w:rsidRPr="00315BC6">
        <w:rPr>
          <w:rFonts w:ascii="Times New Roman" w:eastAsia="Calibri" w:hAnsi="Times New Roman" w:cs="Times New Roman"/>
          <w:sz w:val="24"/>
          <w:szCs w:val="24"/>
        </w:rPr>
        <w:t>) que : « </w:t>
      </w:r>
      <w:r w:rsidRPr="00315BC6">
        <w:rPr>
          <w:rFonts w:ascii="Times New Roman" w:eastAsia="Calibri" w:hAnsi="Times New Roman" w:cs="Times New Roman"/>
          <w:i/>
          <w:iCs/>
          <w:sz w:val="24"/>
          <w:szCs w:val="24"/>
        </w:rPr>
        <w:t xml:space="preserve">Si le rapport de l'auditeur sur la période précédente, tel qu'émis précédemment, comportait une opinion avec réserve, l'impossibilité d'exprimer une opinion, ou une opinion défavorable, et si le point à l'origine de cette opinion modifiée </w:t>
      </w:r>
      <w:r w:rsidRPr="00315BC6">
        <w:rPr>
          <w:rFonts w:ascii="Times New Roman" w:eastAsia="Calibri" w:hAnsi="Times New Roman" w:cs="Times New Roman"/>
          <w:b/>
          <w:bCs/>
          <w:i/>
          <w:iCs/>
          <w:sz w:val="24"/>
          <w:szCs w:val="24"/>
        </w:rPr>
        <w:t>n'a pas été résolu</w:t>
      </w:r>
      <w:r w:rsidRPr="00315BC6">
        <w:rPr>
          <w:rFonts w:ascii="Times New Roman" w:eastAsia="Calibri" w:hAnsi="Times New Roman" w:cs="Times New Roman"/>
          <w:i/>
          <w:iCs/>
          <w:sz w:val="24"/>
          <w:szCs w:val="24"/>
        </w:rPr>
        <w:t>, l'auditeur doit modifier son opinion sur les états financiers de la période en cours. Dans le paragraphe de son rapport d'audit exposant le motif de l'opinion modifiée, il doit :</w:t>
      </w:r>
    </w:p>
    <w:p w14:paraId="4B276897" w14:textId="77777777" w:rsidR="0054198A" w:rsidRPr="00315BC6" w:rsidRDefault="0054198A" w:rsidP="0054198A">
      <w:pPr>
        <w:spacing w:line="240" w:lineRule="auto"/>
        <w:ind w:left="720"/>
        <w:contextualSpacing/>
        <w:jc w:val="both"/>
        <w:rPr>
          <w:rFonts w:ascii="Times New Roman" w:eastAsia="Calibri" w:hAnsi="Times New Roman" w:cs="Times New Roman"/>
          <w:i/>
          <w:iCs/>
          <w:sz w:val="24"/>
          <w:szCs w:val="24"/>
        </w:rPr>
      </w:pPr>
      <w:r w:rsidRPr="00315BC6">
        <w:rPr>
          <w:rFonts w:ascii="Times New Roman" w:eastAsia="Calibri" w:hAnsi="Times New Roman" w:cs="Times New Roman"/>
          <w:i/>
          <w:iCs/>
          <w:sz w:val="24"/>
          <w:szCs w:val="24"/>
        </w:rPr>
        <w:t>(a)</w:t>
      </w:r>
      <w:r w:rsidRPr="00315BC6">
        <w:rPr>
          <w:rFonts w:ascii="Times New Roman" w:eastAsia="Calibri" w:hAnsi="Times New Roman" w:cs="Times New Roman"/>
          <w:i/>
          <w:iCs/>
          <w:sz w:val="24"/>
          <w:szCs w:val="24"/>
        </w:rPr>
        <w:tab/>
        <w:t xml:space="preserve">Soit faire référence, dans la description du point à l'origine de l'opinion modifiée, tant aux chiffres de la période en cours qu'aux chiffres correspondants, </w:t>
      </w:r>
      <w:r w:rsidRPr="00315BC6">
        <w:rPr>
          <w:rFonts w:ascii="Times New Roman" w:eastAsia="Calibri" w:hAnsi="Times New Roman" w:cs="Times New Roman"/>
          <w:i/>
          <w:iCs/>
          <w:sz w:val="24"/>
          <w:szCs w:val="24"/>
        </w:rPr>
        <w:lastRenderedPageBreak/>
        <w:t xml:space="preserve">lorsque les incidences avérées ou possibles de ce point sur les chiffres de la période en cours sont significatives ; </w:t>
      </w:r>
      <w:proofErr w:type="gramStart"/>
      <w:r w:rsidRPr="00315BC6">
        <w:rPr>
          <w:rFonts w:ascii="Times New Roman" w:eastAsia="Calibri" w:hAnsi="Times New Roman" w:cs="Times New Roman"/>
          <w:i/>
          <w:iCs/>
          <w:sz w:val="24"/>
          <w:szCs w:val="24"/>
        </w:rPr>
        <w:t>ou</w:t>
      </w:r>
      <w:proofErr w:type="gramEnd"/>
    </w:p>
    <w:p w14:paraId="41E44A56" w14:textId="77777777" w:rsidR="0054198A" w:rsidRPr="00315BC6" w:rsidRDefault="0054198A" w:rsidP="0054198A">
      <w:pPr>
        <w:spacing w:line="240" w:lineRule="auto"/>
        <w:ind w:left="720"/>
        <w:contextualSpacing/>
        <w:jc w:val="both"/>
        <w:rPr>
          <w:rFonts w:ascii="Times New Roman" w:eastAsia="Calibri" w:hAnsi="Times New Roman" w:cs="Times New Roman"/>
          <w:sz w:val="24"/>
          <w:szCs w:val="24"/>
        </w:rPr>
      </w:pPr>
      <w:r w:rsidRPr="00315BC6">
        <w:rPr>
          <w:rFonts w:ascii="Times New Roman" w:eastAsia="Calibri" w:hAnsi="Times New Roman" w:cs="Times New Roman"/>
          <w:i/>
          <w:iCs/>
          <w:sz w:val="24"/>
          <w:szCs w:val="24"/>
        </w:rPr>
        <w:t>(b)</w:t>
      </w:r>
      <w:r w:rsidRPr="00315BC6">
        <w:rPr>
          <w:rFonts w:ascii="Times New Roman" w:eastAsia="Calibri" w:hAnsi="Times New Roman" w:cs="Times New Roman"/>
          <w:i/>
          <w:iCs/>
          <w:sz w:val="24"/>
          <w:szCs w:val="24"/>
        </w:rPr>
        <w:tab/>
        <w:t>Soit, dans les autres cas, expliquer que l'opinion d'audit a été modifiée en raison des incidences avérées ou possibles du point non résolu sur la comparabilité des chiffres de la période en cours et des chiffres correspondants.</w:t>
      </w:r>
      <w:r w:rsidRPr="00315BC6">
        <w:rPr>
          <w:rFonts w:ascii="Times New Roman" w:eastAsia="Calibri" w:hAnsi="Times New Roman" w:cs="Times New Roman"/>
          <w:sz w:val="24"/>
          <w:szCs w:val="24"/>
        </w:rPr>
        <w:t> ».</w:t>
      </w:r>
    </w:p>
    <w:p w14:paraId="3D8F4014" w14:textId="77777777" w:rsidR="00F2641E" w:rsidRDefault="00F2641E"/>
    <w:sectPr w:rsidR="00F2641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6186" w14:textId="77777777" w:rsidR="00202AC9" w:rsidRDefault="00202AC9" w:rsidP="00202AC9">
      <w:pPr>
        <w:spacing w:line="240" w:lineRule="auto"/>
      </w:pPr>
      <w:r>
        <w:separator/>
      </w:r>
    </w:p>
  </w:endnote>
  <w:endnote w:type="continuationSeparator" w:id="0">
    <w:p w14:paraId="0F7D7030" w14:textId="77777777" w:rsidR="00202AC9" w:rsidRDefault="00202AC9" w:rsidP="00202A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A823" w14:textId="1B67100C" w:rsidR="00202AC9" w:rsidRPr="00202AC9" w:rsidRDefault="00202AC9">
    <w:pPr>
      <w:pStyle w:val="Footer"/>
      <w:rPr>
        <w:lang w:val="en-US"/>
      </w:rPr>
    </w:pPr>
    <w:r>
      <w:rPr>
        <w:lang w:val="en-US"/>
      </w:rPr>
      <w:t>ICCI 2023-1 Rapport du commissaire</w:t>
    </w:r>
    <w:r>
      <w:rPr>
        <w:lang w:val="en-US"/>
      </w:rPr>
      <w:tab/>
    </w:r>
    <w:proofErr w:type="spellStart"/>
    <w:r>
      <w:rPr>
        <w:lang w:val="en-US"/>
      </w:rPr>
      <w:t>Annexe</w:t>
    </w:r>
    <w:proofErr w:type="spellEnd"/>
    <w:r>
      <w:rPr>
        <w:lang w:val="en-US"/>
      </w:rPr>
      <w:t xml:space="preserve"> 13</w:t>
    </w:r>
    <w:r>
      <w:rPr>
        <w:lang w:val="en-US"/>
      </w:rPr>
      <w:tab/>
      <w:t>Juillet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F95F" w14:textId="77777777" w:rsidR="00202AC9" w:rsidRDefault="00202AC9" w:rsidP="00202AC9">
      <w:pPr>
        <w:spacing w:line="240" w:lineRule="auto"/>
      </w:pPr>
      <w:r>
        <w:separator/>
      </w:r>
    </w:p>
  </w:footnote>
  <w:footnote w:type="continuationSeparator" w:id="0">
    <w:p w14:paraId="5F0F8518" w14:textId="77777777" w:rsidR="00202AC9" w:rsidRDefault="00202AC9" w:rsidP="00202A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56C93"/>
    <w:multiLevelType w:val="hybridMultilevel"/>
    <w:tmpl w:val="9CAACD78"/>
    <w:lvl w:ilvl="0" w:tplc="317CDDB4">
      <w:start w:val="1"/>
      <w:numFmt w:val="decimal"/>
      <w:lvlText w:val="%1."/>
      <w:lvlJc w:val="left"/>
      <w:pPr>
        <w:ind w:left="786" w:hanging="360"/>
      </w:pPr>
      <w:rPr>
        <w:rFonts w:ascii="Times New Roman" w:hAnsi="Times New Roman" w:cs="Times New Roman" w:hint="default"/>
        <w:b/>
        <w:i w:val="0"/>
        <w:strike w:val="0"/>
        <w:sz w:val="24"/>
        <w:szCs w:val="24"/>
        <w:vertAlign w:val="baseline"/>
        <w:lang w:val="fr-BE"/>
      </w:rPr>
    </w:lvl>
    <w:lvl w:ilvl="1" w:tplc="080C0017">
      <w:start w:val="1"/>
      <w:numFmt w:val="lowerLetter"/>
      <w:lvlText w:val="%2)"/>
      <w:lvlJc w:val="left"/>
      <w:pPr>
        <w:ind w:left="1440" w:hanging="360"/>
      </w:pPr>
    </w:lvl>
    <w:lvl w:ilvl="2" w:tplc="080C0017">
      <w:start w:val="1"/>
      <w:numFmt w:val="lowerLetter"/>
      <w:lvlText w:val="%3)"/>
      <w:lvlJc w:val="left"/>
      <w:pPr>
        <w:ind w:left="2685" w:hanging="705"/>
      </w:pPr>
      <w:rPr>
        <w:rFonts w:hint="default"/>
      </w:rPr>
    </w:lvl>
    <w:lvl w:ilvl="3" w:tplc="48B243AC">
      <w:start w:val="1"/>
      <w:numFmt w:val="lowerLetter"/>
      <w:lvlText w:val="%4)"/>
      <w:lvlJc w:val="left"/>
      <w:pPr>
        <w:ind w:left="2880" w:hanging="360"/>
      </w:pPr>
      <w:rPr>
        <w:rFonts w:hint="default"/>
      </w:rPr>
    </w:lvl>
    <w:lvl w:ilvl="4" w:tplc="5AD40C40">
      <w:start w:val="1"/>
      <w:numFmt w:val="lowerLetter"/>
      <w:lvlText w:val="(%5)"/>
      <w:lvlJc w:val="left"/>
      <w:pPr>
        <w:ind w:left="3600" w:hanging="360"/>
      </w:pPr>
      <w:rPr>
        <w:rFonts w:cstheme="minorBidi" w:hint="default"/>
      </w:r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B244CD"/>
    <w:multiLevelType w:val="hybridMultilevel"/>
    <w:tmpl w:val="17823E3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FC31899"/>
    <w:multiLevelType w:val="hybridMultilevel"/>
    <w:tmpl w:val="C8F278EE"/>
    <w:lvl w:ilvl="0" w:tplc="FD902FD2">
      <w:start w:val="9"/>
      <w:numFmt w:val="lowerLetter"/>
      <w:lvlText w:val="(%1)"/>
      <w:lvlJc w:val="left"/>
      <w:pPr>
        <w:tabs>
          <w:tab w:val="num" w:pos="2903"/>
        </w:tabs>
        <w:ind w:left="2903" w:hanging="360"/>
      </w:pPr>
      <w:rPr>
        <w:rFonts w:cs="Times New Roman" w:hint="default"/>
      </w:rPr>
    </w:lvl>
    <w:lvl w:ilvl="1" w:tplc="14C2DD60">
      <w:start w:val="2"/>
      <w:numFmt w:val="lowerRoman"/>
      <w:lvlText w:val="(%2)"/>
      <w:lvlJc w:val="left"/>
      <w:pPr>
        <w:tabs>
          <w:tab w:val="num" w:pos="3983"/>
        </w:tabs>
        <w:ind w:left="3983" w:hanging="720"/>
      </w:pPr>
      <w:rPr>
        <w:rFonts w:cs="Times New Roman" w:hint="default"/>
      </w:rPr>
    </w:lvl>
    <w:lvl w:ilvl="2" w:tplc="45646FAA">
      <w:start w:val="9"/>
      <w:numFmt w:val="decimal"/>
      <w:lvlText w:val="%3"/>
      <w:lvlJc w:val="left"/>
      <w:pPr>
        <w:tabs>
          <w:tab w:val="num" w:pos="4523"/>
        </w:tabs>
        <w:ind w:left="4523" w:hanging="360"/>
      </w:pPr>
      <w:rPr>
        <w:rFonts w:cs="Times New Roman" w:hint="default"/>
      </w:rPr>
    </w:lvl>
    <w:lvl w:ilvl="3" w:tplc="E2242FCC">
      <w:start w:val="4"/>
      <w:numFmt w:val="decimal"/>
      <w:lvlText w:val="%4."/>
      <w:lvlJc w:val="left"/>
      <w:pPr>
        <w:tabs>
          <w:tab w:val="num" w:pos="5123"/>
        </w:tabs>
        <w:ind w:left="5123" w:hanging="420"/>
      </w:pPr>
      <w:rPr>
        <w:rFonts w:cs="Times New Roman" w:hint="default"/>
      </w:rPr>
    </w:lvl>
    <w:lvl w:ilvl="4" w:tplc="B9ACA0D6">
      <w:start w:val="1"/>
      <w:numFmt w:val="upperLetter"/>
      <w:lvlText w:val="%5."/>
      <w:lvlJc w:val="left"/>
      <w:pPr>
        <w:ind w:left="5783" w:hanging="360"/>
      </w:pPr>
      <w:rPr>
        <w:rFonts w:hint="default"/>
      </w:rPr>
    </w:lvl>
    <w:lvl w:ilvl="5" w:tplc="040C001B" w:tentative="1">
      <w:start w:val="1"/>
      <w:numFmt w:val="lowerRoman"/>
      <w:lvlText w:val="%6."/>
      <w:lvlJc w:val="right"/>
      <w:pPr>
        <w:tabs>
          <w:tab w:val="num" w:pos="6503"/>
        </w:tabs>
        <w:ind w:left="6503" w:hanging="180"/>
      </w:pPr>
      <w:rPr>
        <w:rFonts w:cs="Times New Roman"/>
      </w:rPr>
    </w:lvl>
    <w:lvl w:ilvl="6" w:tplc="040C000F" w:tentative="1">
      <w:start w:val="1"/>
      <w:numFmt w:val="decimal"/>
      <w:lvlText w:val="%7."/>
      <w:lvlJc w:val="left"/>
      <w:pPr>
        <w:tabs>
          <w:tab w:val="num" w:pos="7223"/>
        </w:tabs>
        <w:ind w:left="7223" w:hanging="360"/>
      </w:pPr>
      <w:rPr>
        <w:rFonts w:cs="Times New Roman"/>
      </w:rPr>
    </w:lvl>
    <w:lvl w:ilvl="7" w:tplc="040C0019" w:tentative="1">
      <w:start w:val="1"/>
      <w:numFmt w:val="lowerLetter"/>
      <w:lvlText w:val="%8."/>
      <w:lvlJc w:val="left"/>
      <w:pPr>
        <w:tabs>
          <w:tab w:val="num" w:pos="7943"/>
        </w:tabs>
        <w:ind w:left="7943" w:hanging="360"/>
      </w:pPr>
      <w:rPr>
        <w:rFonts w:cs="Times New Roman"/>
      </w:rPr>
    </w:lvl>
    <w:lvl w:ilvl="8" w:tplc="040C001B" w:tentative="1">
      <w:start w:val="1"/>
      <w:numFmt w:val="lowerRoman"/>
      <w:lvlText w:val="%9."/>
      <w:lvlJc w:val="right"/>
      <w:pPr>
        <w:tabs>
          <w:tab w:val="num" w:pos="8663"/>
        </w:tabs>
        <w:ind w:left="8663" w:hanging="180"/>
      </w:pPr>
      <w:rPr>
        <w:rFonts w:cs="Times New Roman"/>
      </w:rPr>
    </w:lvl>
  </w:abstractNum>
  <w:num w:numId="1" w16cid:durableId="349914588">
    <w:abstractNumId w:val="0"/>
  </w:num>
  <w:num w:numId="2" w16cid:durableId="1286085976">
    <w:abstractNumId w:val="2"/>
  </w:num>
  <w:num w:numId="3" w16cid:durableId="178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8A"/>
    <w:rsid w:val="000D2214"/>
    <w:rsid w:val="00202AC9"/>
    <w:rsid w:val="002A34EA"/>
    <w:rsid w:val="0054198A"/>
    <w:rsid w:val="005D5DFA"/>
    <w:rsid w:val="008E1D61"/>
    <w:rsid w:val="00E0494A"/>
    <w:rsid w:val="00F2641E"/>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DAA1"/>
  <w15:chartTrackingRefBased/>
  <w15:docId w15:val="{A19B56D7-F27F-4C43-86CA-341E8976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198A"/>
    <w:pPr>
      <w:spacing w:after="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54198A"/>
    <w:rPr>
      <w:sz w:val="16"/>
      <w:szCs w:val="16"/>
    </w:rPr>
  </w:style>
  <w:style w:type="paragraph" w:styleId="CommentText">
    <w:name w:val="annotation text"/>
    <w:basedOn w:val="Normal"/>
    <w:link w:val="CommentTextChar"/>
    <w:uiPriority w:val="99"/>
    <w:rsid w:val="0054198A"/>
    <w:pPr>
      <w:spacing w:line="280" w:lineRule="exact"/>
      <w:jc w:val="both"/>
    </w:pPr>
    <w:rPr>
      <w:rFonts w:ascii="Times New Roman" w:eastAsia="Times New Roman" w:hAnsi="Times New Roman" w:cs="Times New Roman"/>
      <w:kern w:val="20"/>
      <w:sz w:val="20"/>
      <w:szCs w:val="20"/>
    </w:rPr>
  </w:style>
  <w:style w:type="character" w:customStyle="1" w:styleId="CommentTextChar">
    <w:name w:val="Comment Text Char"/>
    <w:basedOn w:val="DefaultParagraphFont"/>
    <w:link w:val="CommentText"/>
    <w:uiPriority w:val="99"/>
    <w:rsid w:val="0054198A"/>
    <w:rPr>
      <w:rFonts w:ascii="Times New Roman" w:eastAsia="Times New Roman" w:hAnsi="Times New Roman" w:cs="Times New Roman"/>
      <w:kern w:val="20"/>
      <w:sz w:val="20"/>
      <w:szCs w:val="20"/>
      <w:lang w:val="fr-FR"/>
    </w:rPr>
  </w:style>
  <w:style w:type="paragraph" w:styleId="ListParagraph">
    <w:name w:val="List Paragraph"/>
    <w:basedOn w:val="Normal"/>
    <w:uiPriority w:val="34"/>
    <w:qFormat/>
    <w:rsid w:val="005D5DFA"/>
    <w:pPr>
      <w:ind w:left="720"/>
      <w:contextualSpacing/>
    </w:pPr>
  </w:style>
  <w:style w:type="paragraph" w:styleId="Header">
    <w:name w:val="header"/>
    <w:basedOn w:val="Normal"/>
    <w:link w:val="HeaderChar"/>
    <w:uiPriority w:val="99"/>
    <w:unhideWhenUsed/>
    <w:rsid w:val="00202AC9"/>
    <w:pPr>
      <w:tabs>
        <w:tab w:val="center" w:pos="4513"/>
        <w:tab w:val="right" w:pos="9026"/>
      </w:tabs>
      <w:spacing w:line="240" w:lineRule="auto"/>
    </w:pPr>
  </w:style>
  <w:style w:type="character" w:customStyle="1" w:styleId="HeaderChar">
    <w:name w:val="Header Char"/>
    <w:basedOn w:val="DefaultParagraphFont"/>
    <w:link w:val="Header"/>
    <w:uiPriority w:val="99"/>
    <w:rsid w:val="00202AC9"/>
    <w:rPr>
      <w:lang w:val="fr-FR"/>
    </w:rPr>
  </w:style>
  <w:style w:type="paragraph" w:styleId="Footer">
    <w:name w:val="footer"/>
    <w:basedOn w:val="Normal"/>
    <w:link w:val="FooterChar"/>
    <w:uiPriority w:val="99"/>
    <w:unhideWhenUsed/>
    <w:rsid w:val="00202AC9"/>
    <w:pPr>
      <w:tabs>
        <w:tab w:val="center" w:pos="4513"/>
        <w:tab w:val="right" w:pos="9026"/>
      </w:tabs>
      <w:spacing w:line="240" w:lineRule="auto"/>
    </w:pPr>
  </w:style>
  <w:style w:type="character" w:customStyle="1" w:styleId="FooterChar">
    <w:name w:val="Footer Char"/>
    <w:basedOn w:val="DefaultParagraphFont"/>
    <w:link w:val="Footer"/>
    <w:uiPriority w:val="99"/>
    <w:rsid w:val="00202AC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0BDE3-9D22-4583-B067-F3F42B25576F}"/>
</file>

<file path=customXml/itemProps2.xml><?xml version="1.0" encoding="utf-8"?>
<ds:datastoreItem xmlns:ds="http://schemas.openxmlformats.org/officeDocument/2006/customXml" ds:itemID="{AEED28F6-AEA3-404E-9085-4E68CCD1DF6E}">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7BF11F21-28A6-4629-9C0C-886AF6D04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Vanbeveren</dc:creator>
  <cp:keywords/>
  <dc:description/>
  <cp:lastModifiedBy>Inge Vanbeveren</cp:lastModifiedBy>
  <cp:revision>7</cp:revision>
  <dcterms:created xsi:type="dcterms:W3CDTF">2023-04-13T10:36:00Z</dcterms:created>
  <dcterms:modified xsi:type="dcterms:W3CDTF">2023-08-16T15:24:00Z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