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83" w:type="dxa"/>
        <w:tblInd w:w="108" w:type="dxa"/>
        <w:tblLook w:val="01E0" w:firstRow="1" w:lastRow="1" w:firstColumn="1" w:lastColumn="1" w:noHBand="0" w:noVBand="0"/>
      </w:tblPr>
      <w:tblGrid>
        <w:gridCol w:w="5812"/>
        <w:gridCol w:w="2977"/>
        <w:gridCol w:w="1984"/>
        <w:gridCol w:w="2410"/>
      </w:tblGrid>
      <w:tr w:rsidR="00F24591" w:rsidRPr="00691B21" w14:paraId="1D695C1C" w14:textId="77777777" w:rsidTr="00F24591">
        <w:trPr>
          <w:trHeight w:val="353"/>
        </w:trPr>
        <w:tc>
          <w:tcPr>
            <w:tcW w:w="5812" w:type="dxa"/>
          </w:tcPr>
          <w:p w14:paraId="1D695C18" w14:textId="77777777" w:rsidR="00F24591" w:rsidRPr="00691B21" w:rsidRDefault="00F24591" w:rsidP="00F24591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 xml:space="preserve">Nom du client </w:t>
            </w:r>
          </w:p>
        </w:tc>
        <w:tc>
          <w:tcPr>
            <w:tcW w:w="2977" w:type="dxa"/>
          </w:tcPr>
          <w:p w14:paraId="1D695C19" w14:textId="77777777" w:rsidR="00F24591" w:rsidRPr="00691B21" w:rsidRDefault="00F24591" w:rsidP="00F24591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</w:tcPr>
          <w:p w14:paraId="1D695C1A" w14:textId="77777777" w:rsidR="00F24591" w:rsidRPr="00691B21" w:rsidRDefault="00882AEB" w:rsidP="00F24591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fr-BE"/>
              </w:rPr>
            </w:pPr>
            <w:r>
              <w:rPr>
                <w:rFonts w:ascii="Arial" w:hAnsi="Arial" w:cs="Arial"/>
                <w:color w:val="auto"/>
                <w:sz w:val="20"/>
                <w:lang w:val="fr-BE"/>
              </w:rPr>
              <w:t>E</w:t>
            </w:r>
            <w:r w:rsidR="00F24591" w:rsidRPr="00691B21">
              <w:rPr>
                <w:rFonts w:ascii="Arial" w:hAnsi="Arial" w:cs="Arial"/>
                <w:color w:val="auto"/>
                <w:sz w:val="20"/>
                <w:lang w:val="fr-BE"/>
              </w:rPr>
              <w:t>xercice</w:t>
            </w:r>
          </w:p>
        </w:tc>
        <w:tc>
          <w:tcPr>
            <w:tcW w:w="2410" w:type="dxa"/>
          </w:tcPr>
          <w:p w14:paraId="1D695C1B" w14:textId="77777777" w:rsidR="00F24591" w:rsidRPr="00691B21" w:rsidRDefault="00F24591" w:rsidP="00F24591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fr-BE"/>
              </w:rPr>
            </w:pPr>
          </w:p>
        </w:tc>
      </w:tr>
      <w:tr w:rsidR="00F24591" w:rsidRPr="001C6E72" w14:paraId="1D695C1F" w14:textId="77777777" w:rsidTr="00F24591">
        <w:tc>
          <w:tcPr>
            <w:tcW w:w="5812" w:type="dxa"/>
          </w:tcPr>
          <w:p w14:paraId="1D695C1D" w14:textId="77777777" w:rsidR="00F24591" w:rsidRPr="00691B21" w:rsidRDefault="00F24591" w:rsidP="00F24591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Sujet</w:t>
            </w:r>
          </w:p>
        </w:tc>
        <w:tc>
          <w:tcPr>
            <w:tcW w:w="7371" w:type="dxa"/>
            <w:gridSpan w:val="3"/>
            <w:shd w:val="clear" w:color="auto" w:fill="BFBFBF" w:themeFill="background1" w:themeFillShade="BF"/>
          </w:tcPr>
          <w:p w14:paraId="1D695C1E" w14:textId="77777777" w:rsidR="00F24591" w:rsidRPr="00691B21" w:rsidRDefault="00F24591" w:rsidP="007B2490">
            <w:pPr>
              <w:pStyle w:val="Vrijevorm"/>
              <w:tabs>
                <w:tab w:val="left" w:pos="792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>C</w:t>
            </w:r>
            <w:r w:rsidR="00A44A9C"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>ONTR</w:t>
            </w:r>
            <w:r w:rsidR="007B2490"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>O</w:t>
            </w:r>
            <w:r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 xml:space="preserve">LE DES COMPTES ANNUELS </w:t>
            </w:r>
            <w:r w:rsidR="008E6600"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 xml:space="preserve">A  </w:t>
            </w:r>
            <w:r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>DEPOS</w:t>
            </w:r>
            <w:r w:rsidR="008E6600"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>ER</w:t>
            </w:r>
            <w:r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 xml:space="preserve"> A LA BNB</w:t>
            </w:r>
          </w:p>
        </w:tc>
      </w:tr>
    </w:tbl>
    <w:p w14:paraId="1D695C20" w14:textId="77777777" w:rsidR="00127B5A" w:rsidRPr="006639EC" w:rsidRDefault="00127B5A">
      <w:pPr>
        <w:rPr>
          <w:rFonts w:ascii="Arial" w:hAnsi="Arial" w:cs="Arial"/>
          <w:sz w:val="20"/>
          <w:szCs w:val="20"/>
          <w:lang w:val="fr-BE"/>
        </w:rPr>
      </w:pPr>
    </w:p>
    <w:tbl>
      <w:tblPr>
        <w:tblStyle w:val="TableGrid"/>
        <w:tblW w:w="13183" w:type="dxa"/>
        <w:tblInd w:w="108" w:type="dxa"/>
        <w:tblLook w:val="04A0" w:firstRow="1" w:lastRow="0" w:firstColumn="1" w:lastColumn="0" w:noHBand="0" w:noVBand="1"/>
      </w:tblPr>
      <w:tblGrid>
        <w:gridCol w:w="12049"/>
        <w:gridCol w:w="1134"/>
      </w:tblGrid>
      <w:tr w:rsidR="00F24591" w:rsidRPr="00F24591" w14:paraId="1D695C23" w14:textId="77777777" w:rsidTr="00A44A9C">
        <w:tc>
          <w:tcPr>
            <w:tcW w:w="12049" w:type="dxa"/>
          </w:tcPr>
          <w:p w14:paraId="1D695C21" w14:textId="77777777" w:rsidR="00F24591" w:rsidRPr="00F24591" w:rsidRDefault="00F24591" w:rsidP="00A44A9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591">
              <w:rPr>
                <w:rFonts w:ascii="Arial" w:hAnsi="Arial" w:cs="Arial"/>
                <w:b/>
                <w:sz w:val="20"/>
                <w:szCs w:val="20"/>
              </w:rPr>
              <w:t>OBJECTIF</w:t>
            </w:r>
          </w:p>
        </w:tc>
        <w:tc>
          <w:tcPr>
            <w:tcW w:w="1134" w:type="dxa"/>
          </w:tcPr>
          <w:p w14:paraId="1D695C22" w14:textId="77777777" w:rsidR="00F24591" w:rsidRPr="00F24591" w:rsidRDefault="00F24591" w:rsidP="00A44A9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591">
              <w:rPr>
                <w:rFonts w:ascii="Arial" w:hAnsi="Arial" w:cs="Arial"/>
                <w:b/>
                <w:sz w:val="20"/>
                <w:szCs w:val="20"/>
              </w:rPr>
              <w:t>ISA</w:t>
            </w:r>
          </w:p>
        </w:tc>
      </w:tr>
      <w:tr w:rsidR="00F24591" w:rsidRPr="001024E6" w14:paraId="1D695C27" w14:textId="77777777" w:rsidTr="00A44A9C">
        <w:tc>
          <w:tcPr>
            <w:tcW w:w="12049" w:type="dxa"/>
          </w:tcPr>
          <w:p w14:paraId="1D695C24" w14:textId="77777777" w:rsidR="00F24591" w:rsidRPr="00F24591" w:rsidRDefault="00244EDD" w:rsidP="00A44A9C">
            <w:pPr>
              <w:spacing w:before="60" w:after="60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L</w:t>
            </w:r>
            <w:r w:rsidR="00F24591" w:rsidRPr="00F24591">
              <w:rPr>
                <w:rFonts w:ascii="Arial" w:hAnsi="Arial" w:cs="Arial"/>
                <w:sz w:val="20"/>
                <w:szCs w:val="20"/>
                <w:lang w:val="fr-BE"/>
              </w:rPr>
              <w:t>a présente check-list a pour objectif de vérifier que les comptes annuels ont été publiés conformément aux dispositions légales et r</w:t>
            </w:r>
            <w:r w:rsidR="003A38FD">
              <w:rPr>
                <w:rFonts w:ascii="Arial" w:hAnsi="Arial" w:cs="Arial"/>
                <w:sz w:val="20"/>
                <w:szCs w:val="20"/>
                <w:lang w:val="fr-BE"/>
              </w:rPr>
              <w:t>é</w:t>
            </w:r>
            <w:r w:rsidR="00F24591" w:rsidRPr="00F24591">
              <w:rPr>
                <w:rFonts w:ascii="Arial" w:hAnsi="Arial" w:cs="Arial"/>
                <w:sz w:val="20"/>
                <w:szCs w:val="20"/>
                <w:lang w:val="fr-BE"/>
              </w:rPr>
              <w:t>glementaires applicables.</w:t>
            </w:r>
          </w:p>
          <w:p w14:paraId="1D695C25" w14:textId="77777777" w:rsidR="00F24591" w:rsidRPr="00F24591" w:rsidRDefault="00F24591" w:rsidP="00A44A9C">
            <w:pPr>
              <w:spacing w:before="60" w:after="6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</w:tcPr>
          <w:p w14:paraId="1D695C26" w14:textId="77777777" w:rsidR="00F24591" w:rsidRPr="00F24591" w:rsidRDefault="001024E6" w:rsidP="001024E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N/A</w:t>
            </w:r>
          </w:p>
        </w:tc>
      </w:tr>
    </w:tbl>
    <w:p w14:paraId="1D695C28" w14:textId="77777777" w:rsidR="00D82986" w:rsidRPr="00A44A9C" w:rsidRDefault="00D82986" w:rsidP="002E3AE7">
      <w:pPr>
        <w:tabs>
          <w:tab w:val="left" w:pos="7088"/>
        </w:tabs>
        <w:spacing w:after="60" w:line="240" w:lineRule="auto"/>
        <w:ind w:right="2187"/>
        <w:rPr>
          <w:rFonts w:ascii="Arial" w:hAnsi="Arial" w:cs="Arial"/>
          <w:sz w:val="20"/>
          <w:szCs w:val="20"/>
          <w:lang w:val="fr-BE"/>
        </w:rPr>
      </w:pPr>
    </w:p>
    <w:tbl>
      <w:tblPr>
        <w:tblW w:w="13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103"/>
        <w:gridCol w:w="1134"/>
        <w:gridCol w:w="1005"/>
        <w:gridCol w:w="4536"/>
      </w:tblGrid>
      <w:tr w:rsidR="005E0ED7" w:rsidRPr="00F24591" w14:paraId="1D695C2E" w14:textId="77777777" w:rsidTr="00275B60">
        <w:trPr>
          <w:trHeight w:val="255"/>
        </w:trPr>
        <w:tc>
          <w:tcPr>
            <w:tcW w:w="1433" w:type="dxa"/>
            <w:shd w:val="clear" w:color="auto" w:fill="A6A6A6"/>
            <w:noWrap/>
            <w:vAlign w:val="center"/>
            <w:hideMark/>
          </w:tcPr>
          <w:p w14:paraId="1D695C29" w14:textId="77777777" w:rsidR="005E0ED7" w:rsidRPr="00F24591" w:rsidRDefault="005E0ED7" w:rsidP="00A44A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Réf</w:t>
            </w:r>
            <w:r w:rsidR="007B2490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 xml:space="preserve"> modèle complet des comptes annuels</w:t>
            </w:r>
          </w:p>
        </w:tc>
        <w:tc>
          <w:tcPr>
            <w:tcW w:w="5103" w:type="dxa"/>
            <w:shd w:val="clear" w:color="auto" w:fill="A6A6A6"/>
            <w:noWrap/>
            <w:vAlign w:val="center"/>
            <w:hideMark/>
          </w:tcPr>
          <w:p w14:paraId="1D695C2A" w14:textId="77777777" w:rsidR="005E0ED7" w:rsidRPr="00F24591" w:rsidRDefault="005E0ED7" w:rsidP="00A44A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Question</w:t>
            </w:r>
          </w:p>
        </w:tc>
        <w:tc>
          <w:tcPr>
            <w:tcW w:w="1134" w:type="dxa"/>
            <w:shd w:val="clear" w:color="auto" w:fill="A6A6A6"/>
            <w:noWrap/>
            <w:vAlign w:val="center"/>
            <w:hideMark/>
          </w:tcPr>
          <w:p w14:paraId="1D695C2B" w14:textId="77777777" w:rsidR="005E0ED7" w:rsidRPr="00F24591" w:rsidRDefault="005E0ED7" w:rsidP="00A44A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Initiales</w:t>
            </w:r>
          </w:p>
        </w:tc>
        <w:tc>
          <w:tcPr>
            <w:tcW w:w="992" w:type="dxa"/>
            <w:shd w:val="clear" w:color="auto" w:fill="A6A6A6"/>
            <w:noWrap/>
            <w:vAlign w:val="center"/>
            <w:hideMark/>
          </w:tcPr>
          <w:p w14:paraId="1D695C2C" w14:textId="77777777" w:rsidR="005E0ED7" w:rsidRPr="00F24591" w:rsidRDefault="005E0ED7" w:rsidP="00A44A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Réf.doc. travail.</w:t>
            </w:r>
          </w:p>
        </w:tc>
        <w:tc>
          <w:tcPr>
            <w:tcW w:w="4536" w:type="dxa"/>
            <w:shd w:val="clear" w:color="auto" w:fill="A6A6A6"/>
            <w:noWrap/>
            <w:vAlign w:val="center"/>
            <w:hideMark/>
          </w:tcPr>
          <w:p w14:paraId="1D695C2D" w14:textId="77777777" w:rsidR="005E0ED7" w:rsidRPr="00F24591" w:rsidRDefault="005E0ED7" w:rsidP="00A44A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Commentaire</w:t>
            </w:r>
          </w:p>
        </w:tc>
      </w:tr>
      <w:tr w:rsidR="00E50D62" w:rsidRPr="001C6E72" w14:paraId="1D695C30" w14:textId="77777777" w:rsidTr="002E3AE7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1D695C2F" w14:textId="77777777" w:rsidR="00E50D62" w:rsidRPr="002E3AE7" w:rsidRDefault="00E50D62" w:rsidP="007B249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2E3AE7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CONTR</w:t>
            </w:r>
            <w:r w:rsidR="007B2490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O</w:t>
            </w:r>
            <w:r w:rsidRPr="002E3AE7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LES BANQUE NATIONALE DE B</w:t>
            </w:r>
            <w:r w:rsidR="005904EF" w:rsidRPr="002E3AE7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ELGIQUE</w:t>
            </w:r>
          </w:p>
        </w:tc>
      </w:tr>
      <w:tr w:rsidR="005E0ED7" w:rsidRPr="001C6E72" w14:paraId="1D695C36" w14:textId="77777777" w:rsidTr="00275B60">
        <w:trPr>
          <w:trHeight w:val="510"/>
        </w:trPr>
        <w:tc>
          <w:tcPr>
            <w:tcW w:w="1433" w:type="dxa"/>
            <w:shd w:val="clear" w:color="auto" w:fill="auto"/>
            <w:noWrap/>
            <w:hideMark/>
          </w:tcPr>
          <w:p w14:paraId="1D695C31" w14:textId="77777777" w:rsidR="005E0ED7" w:rsidRPr="00F24591" w:rsidRDefault="005E0ED7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1D695C32" w14:textId="77777777" w:rsidR="00F94489" w:rsidRPr="00F24591" w:rsidRDefault="005E0ED7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Demander et vérifier les contrôles BNB du logiciel des comptes annuels du client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1D695C33" w14:textId="77777777" w:rsidR="005E0ED7" w:rsidRPr="00F24591" w:rsidRDefault="005E0ED7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95C34" w14:textId="77777777" w:rsidR="005E0ED7" w:rsidRPr="00F24591" w:rsidRDefault="005E0ED7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D695C35" w14:textId="77777777" w:rsidR="005E0ED7" w:rsidRPr="00F24591" w:rsidRDefault="005E0ED7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2E3AE7" w14:paraId="1D695C38" w14:textId="77777777" w:rsidTr="002E3AE7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1D695C37" w14:textId="77777777" w:rsidR="00E50D62" w:rsidRPr="002E3AE7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2E3AE7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DONNEES DE BASE</w:t>
            </w:r>
          </w:p>
        </w:tc>
      </w:tr>
      <w:tr w:rsidR="005E0ED7" w:rsidRPr="001C6E72" w14:paraId="1D695C3E" w14:textId="77777777" w:rsidTr="00275B60">
        <w:trPr>
          <w:trHeight w:val="510"/>
        </w:trPr>
        <w:tc>
          <w:tcPr>
            <w:tcW w:w="1433" w:type="dxa"/>
            <w:shd w:val="clear" w:color="auto" w:fill="auto"/>
            <w:noWrap/>
            <w:hideMark/>
          </w:tcPr>
          <w:p w14:paraId="1D695C39" w14:textId="77777777" w:rsidR="005E0ED7" w:rsidRPr="00F24591" w:rsidRDefault="005E0ED7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C1.1</w:t>
            </w:r>
            <w:r w:rsidR="008D4C37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5103" w:type="dxa"/>
            <w:shd w:val="clear" w:color="auto" w:fill="auto"/>
            <w:hideMark/>
          </w:tcPr>
          <w:p w14:paraId="1D695C3A" w14:textId="77777777" w:rsidR="005E0ED7" w:rsidRPr="00F24591" w:rsidRDefault="005E0ED7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Vérification au </w:t>
            </w:r>
            <w:r w:rsidRPr="007B2490">
              <w:rPr>
                <w:rFonts w:ascii="Arial" w:eastAsia="Times New Roman" w:hAnsi="Arial" w:cs="Arial"/>
                <w:i/>
                <w:sz w:val="20"/>
                <w:szCs w:val="20"/>
                <w:lang w:val="fr-BE"/>
              </w:rPr>
              <w:t>Moniteur Belge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de la date de la dernière publication relative aux statuts</w:t>
            </w:r>
            <w:r w:rsidR="002E3AE7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1D695C3B" w14:textId="77777777" w:rsidR="005E0ED7" w:rsidRPr="00F24591" w:rsidRDefault="005E0ED7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95C3C" w14:textId="77777777" w:rsidR="005E0ED7" w:rsidRPr="00F24591" w:rsidRDefault="005E0ED7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D695C3D" w14:textId="77777777" w:rsidR="005E0ED7" w:rsidRPr="00F24591" w:rsidRDefault="005E0ED7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5E0ED7" w:rsidRPr="001C6E72" w14:paraId="1D695C44" w14:textId="77777777" w:rsidTr="00275B60">
        <w:trPr>
          <w:trHeight w:val="1020"/>
        </w:trPr>
        <w:tc>
          <w:tcPr>
            <w:tcW w:w="1433" w:type="dxa"/>
            <w:shd w:val="clear" w:color="auto" w:fill="auto"/>
            <w:noWrap/>
            <w:hideMark/>
          </w:tcPr>
          <w:p w14:paraId="1D695C3F" w14:textId="77777777" w:rsidR="005E0ED7" w:rsidRPr="00F24591" w:rsidRDefault="005E0ED7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C1.1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5103" w:type="dxa"/>
            <w:shd w:val="clear" w:color="auto" w:fill="auto"/>
            <w:hideMark/>
          </w:tcPr>
          <w:p w14:paraId="1D695C40" w14:textId="77777777" w:rsidR="005E0ED7" w:rsidRPr="00F24591" w:rsidRDefault="005E0ED7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Concordance entre la liste complète des administrateurs, gérants et commissaires de la société avec les informations contenues dans le dossier permanent mis à jour sur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la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base des dernières publications au </w:t>
            </w:r>
            <w:r w:rsidRPr="007B2490">
              <w:rPr>
                <w:rFonts w:ascii="Arial" w:eastAsia="Times New Roman" w:hAnsi="Arial" w:cs="Arial"/>
                <w:i/>
                <w:sz w:val="20"/>
                <w:szCs w:val="20"/>
                <w:lang w:val="fr-BE"/>
              </w:rPr>
              <w:t>Moniteur Belge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1D695C41" w14:textId="77777777" w:rsidR="005E0ED7" w:rsidRPr="00F24591" w:rsidRDefault="005E0ED7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95C42" w14:textId="77777777" w:rsidR="005E0ED7" w:rsidRPr="00F24591" w:rsidRDefault="005E0ED7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D695C43" w14:textId="77777777" w:rsidR="005E0ED7" w:rsidRPr="00F24591" w:rsidRDefault="005E0ED7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5E0ED7" w:rsidRPr="001C6E72" w14:paraId="1D695C4A" w14:textId="77777777" w:rsidTr="00275B60">
        <w:trPr>
          <w:trHeight w:val="510"/>
        </w:trPr>
        <w:tc>
          <w:tcPr>
            <w:tcW w:w="1433" w:type="dxa"/>
            <w:shd w:val="clear" w:color="auto" w:fill="auto"/>
            <w:noWrap/>
            <w:hideMark/>
          </w:tcPr>
          <w:p w14:paraId="1D695C45" w14:textId="77777777" w:rsidR="005E0ED7" w:rsidRPr="00F24591" w:rsidRDefault="005E0ED7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C1.1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5103" w:type="dxa"/>
            <w:shd w:val="clear" w:color="auto" w:fill="auto"/>
            <w:hideMark/>
          </w:tcPr>
          <w:p w14:paraId="1D695C46" w14:textId="77777777" w:rsidR="005E0ED7" w:rsidRPr="00F24591" w:rsidRDefault="005E0ED7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 cas de renouvellement du man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dat de commissaire, en aviser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associé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responsable de la mission</w:t>
            </w:r>
            <w:r w:rsidR="002E3AE7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1D695C47" w14:textId="77777777" w:rsidR="005E0ED7" w:rsidRPr="00F24591" w:rsidRDefault="005E0ED7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95C48" w14:textId="77777777" w:rsidR="005E0ED7" w:rsidRPr="00F24591" w:rsidRDefault="005E0ED7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D695C49" w14:textId="77777777" w:rsidR="005E0ED7" w:rsidRPr="00F24591" w:rsidRDefault="005E0ED7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5E0ED7" w:rsidRPr="001C6E72" w14:paraId="1D695C50" w14:textId="77777777" w:rsidTr="00275B60">
        <w:trPr>
          <w:trHeight w:val="510"/>
        </w:trPr>
        <w:tc>
          <w:tcPr>
            <w:tcW w:w="1433" w:type="dxa"/>
            <w:shd w:val="clear" w:color="auto" w:fill="auto"/>
            <w:noWrap/>
            <w:hideMark/>
          </w:tcPr>
          <w:p w14:paraId="1D695C4B" w14:textId="77777777" w:rsidR="005E0ED7" w:rsidRPr="00F24591" w:rsidRDefault="005E0ED7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C1.1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5103" w:type="dxa"/>
            <w:shd w:val="clear" w:color="auto" w:fill="auto"/>
            <w:hideMark/>
          </w:tcPr>
          <w:p w14:paraId="1D695C4C" w14:textId="77777777" w:rsidR="00F94489" w:rsidRPr="00F24591" w:rsidRDefault="005E0ED7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Vérification du cont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enu des pages non déposées et s’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assurer du bien-fondé de leur absence</w:t>
            </w:r>
            <w:r w:rsidR="002E3AE7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1D695C4D" w14:textId="77777777" w:rsidR="005E0ED7" w:rsidRPr="00F24591" w:rsidRDefault="005E0ED7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95C4E" w14:textId="77777777" w:rsidR="005E0ED7" w:rsidRPr="00F24591" w:rsidRDefault="005E0ED7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D695C4F" w14:textId="77777777" w:rsidR="005E0ED7" w:rsidRPr="00F24591" w:rsidRDefault="005E0ED7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1D695C51" w14:textId="77777777" w:rsidR="00896CED" w:rsidRPr="00F37CC5" w:rsidRDefault="00896CED">
      <w:pPr>
        <w:rPr>
          <w:lang w:val="fr-BE"/>
        </w:rPr>
      </w:pPr>
      <w:r w:rsidRPr="00F37CC5">
        <w:rPr>
          <w:lang w:val="fr-BE"/>
        </w:rPr>
        <w:br w:type="page"/>
      </w:r>
    </w:p>
    <w:tbl>
      <w:tblPr>
        <w:tblW w:w="13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6064"/>
        <w:gridCol w:w="961"/>
        <w:gridCol w:w="1005"/>
        <w:gridCol w:w="4129"/>
      </w:tblGrid>
      <w:tr w:rsidR="00896CED" w:rsidRPr="002E3AE7" w14:paraId="1D695C53" w14:textId="77777777" w:rsidTr="008D79F0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1D695C52" w14:textId="77777777" w:rsidR="00896CED" w:rsidRPr="002E3AE7" w:rsidRDefault="00896CED" w:rsidP="00275B6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2E3AE7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lastRenderedPageBreak/>
              <w:t>DONNEES DE BASE</w:t>
            </w:r>
          </w:p>
        </w:tc>
      </w:tr>
      <w:tr w:rsidR="000B4FB9" w:rsidRPr="001C6E72" w14:paraId="1D695C59" w14:textId="77777777" w:rsidTr="008D79F0">
        <w:trPr>
          <w:trHeight w:val="1275"/>
        </w:trPr>
        <w:tc>
          <w:tcPr>
            <w:tcW w:w="1039" w:type="dxa"/>
            <w:shd w:val="clear" w:color="auto" w:fill="auto"/>
            <w:noWrap/>
            <w:hideMark/>
          </w:tcPr>
          <w:p w14:paraId="1D695C54" w14:textId="77777777" w:rsidR="000B4FB9" w:rsidRPr="00F24591" w:rsidRDefault="007B2490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</w:t>
            </w:r>
            <w:r w:rsidR="000B4FB9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1.2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064" w:type="dxa"/>
            <w:shd w:val="clear" w:color="auto" w:fill="auto"/>
            <w:hideMark/>
          </w:tcPr>
          <w:p w14:paraId="1D695C55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Vérification de la pertinence de remplir 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ou non la page C1.2. au regard d’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éventuelles missions de tenue des comptes, établissement et/ou vérification et/ou redressement des comptes annuels confiés à un expert-comptable ou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un réviseur d’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entreprise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</w:t>
            </w:r>
            <w:r w:rsidR="007B249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qui n’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est pas le commissaire de la société</w:t>
            </w:r>
            <w:r w:rsidR="00275B6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56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57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129" w:type="dxa"/>
            <w:shd w:val="clear" w:color="auto" w:fill="auto"/>
            <w:vAlign w:val="center"/>
            <w:hideMark/>
          </w:tcPr>
          <w:p w14:paraId="1D695C58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1C6E72" w14:paraId="1D695C5B" w14:textId="77777777" w:rsidTr="008D79F0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1D695C5A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BILAN ET COMPTE DE RESULTATS</w:t>
            </w:r>
          </w:p>
        </w:tc>
      </w:tr>
      <w:tr w:rsidR="000B4FB9" w:rsidRPr="001C6E72" w14:paraId="1D695C61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5C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C2.1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à C4</w:t>
            </w:r>
            <w:r w:rsidR="00896CE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064" w:type="dxa"/>
            <w:shd w:val="clear" w:color="auto" w:fill="auto"/>
            <w:hideMark/>
          </w:tcPr>
          <w:p w14:paraId="1D695C5D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</w:t>
            </w:r>
            <w:r w:rsidR="007B249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n entre la colonne relative à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 précédent et l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a colonne contrôlée par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BNB et publié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en N-1</w:t>
            </w:r>
            <w:r w:rsidR="00275B6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5E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5F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129" w:type="dxa"/>
            <w:shd w:val="clear" w:color="auto" w:fill="auto"/>
            <w:vAlign w:val="center"/>
            <w:hideMark/>
          </w:tcPr>
          <w:p w14:paraId="1D695C60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67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62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C2.1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à C4</w:t>
            </w:r>
            <w:r w:rsidR="00896CE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064" w:type="dxa"/>
            <w:shd w:val="clear" w:color="auto" w:fill="auto"/>
            <w:hideMark/>
          </w:tcPr>
          <w:p w14:paraId="1D695C63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n entre la colonne relative à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 et la balance générale finale auditée</w:t>
            </w:r>
            <w:r w:rsidR="00275B6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64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65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129" w:type="dxa"/>
            <w:shd w:val="clear" w:color="auto" w:fill="auto"/>
            <w:vAlign w:val="center"/>
            <w:hideMark/>
          </w:tcPr>
          <w:p w14:paraId="1D695C66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C69" w14:textId="77777777" w:rsidTr="008D79F0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C68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FRAIS D'ETABLISSEMENT ET IMMOBILISATIONS</w:t>
            </w:r>
          </w:p>
        </w:tc>
      </w:tr>
      <w:tr w:rsidR="000B4FB9" w:rsidRPr="001C6E72" w14:paraId="1D695C6F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6A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à C5.4.3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064" w:type="dxa"/>
            <w:shd w:val="clear" w:color="auto" w:fill="auto"/>
            <w:hideMark/>
          </w:tcPr>
          <w:p w14:paraId="1D695C6B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n entre la colonne relative à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 précédent et l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 colonne contrôlée par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BNB et publié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en N</w:t>
            </w:r>
            <w:r w:rsidR="00275B6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-1.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6C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6D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129" w:type="dxa"/>
            <w:shd w:val="clear" w:color="auto" w:fill="auto"/>
            <w:vAlign w:val="center"/>
            <w:hideMark/>
          </w:tcPr>
          <w:p w14:paraId="1D695C6E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75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70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à C5.4.3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064" w:type="dxa"/>
            <w:shd w:val="clear" w:color="auto" w:fill="auto"/>
            <w:hideMark/>
          </w:tcPr>
          <w:p w14:paraId="1D695C71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des montants avec le tableau de mutation des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immobilisés réalisés pendant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audit des immobilisations</w:t>
            </w:r>
            <w:r w:rsidR="00275B6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72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73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129" w:type="dxa"/>
            <w:shd w:val="clear" w:color="auto" w:fill="auto"/>
            <w:vAlign w:val="center"/>
            <w:hideMark/>
          </w:tcPr>
          <w:p w14:paraId="1D695C74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7B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76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à C5.4.3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064" w:type="dxa"/>
            <w:shd w:val="clear" w:color="auto" w:fill="auto"/>
            <w:hideMark/>
          </w:tcPr>
          <w:p w14:paraId="1D695C77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entre la valeu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 nette comptable au terme de l’exercice et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actif (page C2.1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78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79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129" w:type="dxa"/>
            <w:shd w:val="clear" w:color="auto" w:fill="auto"/>
            <w:vAlign w:val="center"/>
            <w:hideMark/>
          </w:tcPr>
          <w:p w14:paraId="1D695C7A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C7D" w14:textId="77777777" w:rsidTr="008D79F0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C7C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INFORMATIONS RELATIVES AUX PARTICIPATIONS</w:t>
            </w:r>
          </w:p>
        </w:tc>
      </w:tr>
      <w:tr w:rsidR="000B4FB9" w:rsidRPr="001C6E72" w14:paraId="1D695C83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7E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C5.5.1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064" w:type="dxa"/>
            <w:shd w:val="clear" w:color="auto" w:fill="auto"/>
            <w:hideMark/>
          </w:tcPr>
          <w:p w14:paraId="1D695C7F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Contrôle exhausti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f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des sociétés mentionnées en réconciliant ave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 les rubriques 280 et 282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actif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80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81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129" w:type="dxa"/>
            <w:shd w:val="clear" w:color="auto" w:fill="auto"/>
            <w:vAlign w:val="center"/>
            <w:hideMark/>
          </w:tcPr>
          <w:p w14:paraId="1D695C82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C85" w14:textId="77777777" w:rsidTr="007B2490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C84" w14:textId="77777777" w:rsidR="00E50D62" w:rsidRPr="00896CED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F37CC5">
              <w:rPr>
                <w:lang w:val="fr-BE"/>
              </w:rPr>
              <w:br w:type="page"/>
            </w:r>
            <w:r w:rsidR="00E50D62"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RE</w:t>
            </w:r>
            <w:r w:rsidR="00147BFF"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SPONSABILITE</w:t>
            </w:r>
            <w:r w:rsidR="00E50D62"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 xml:space="preserve"> ILLIMITEE</w:t>
            </w:r>
          </w:p>
        </w:tc>
      </w:tr>
      <w:tr w:rsidR="000B4FB9" w:rsidRPr="00F24591" w14:paraId="1D695C8C" w14:textId="77777777" w:rsidTr="007B249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C86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C87" w14:textId="77777777" w:rsidR="000B4FB9" w:rsidRPr="00F24591" w:rsidRDefault="008D79F0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C5.5.2.</w:t>
            </w:r>
          </w:p>
        </w:tc>
        <w:tc>
          <w:tcPr>
            <w:tcW w:w="6064" w:type="dxa"/>
            <w:shd w:val="clear" w:color="auto" w:fill="auto"/>
            <w:hideMark/>
          </w:tcPr>
          <w:p w14:paraId="1D695C88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Les comptes annuels de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 entreprises pour lesquelles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entreprise est indéfiniment responsable sont-ils joints à ceux de la société auditée ? Si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non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 la raison est-elle mentionnée ?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89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8A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129" w:type="dxa"/>
            <w:shd w:val="clear" w:color="auto" w:fill="auto"/>
            <w:vAlign w:val="center"/>
            <w:hideMark/>
          </w:tcPr>
          <w:p w14:paraId="1D695C8B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1D695C8D" w14:textId="77777777" w:rsidR="008D79F0" w:rsidRDefault="008D79F0">
      <w:r>
        <w:br w:type="page"/>
      </w:r>
    </w:p>
    <w:tbl>
      <w:tblPr>
        <w:tblW w:w="123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3924"/>
        <w:gridCol w:w="961"/>
        <w:gridCol w:w="1005"/>
        <w:gridCol w:w="5405"/>
      </w:tblGrid>
      <w:tr w:rsidR="00E50D62" w:rsidRPr="001C6E72" w14:paraId="1D695C8F" w14:textId="77777777" w:rsidTr="008D79F0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C8E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lastRenderedPageBreak/>
              <w:t xml:space="preserve">PLACEMENTS DE TRESORERIE </w:t>
            </w:r>
            <w:r w:rsidR="00135CAA"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ET</w:t>
            </w: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 xml:space="preserve"> COMPTES DE REGULARISATION ACTIFS</w:t>
            </w:r>
          </w:p>
        </w:tc>
      </w:tr>
      <w:tr w:rsidR="000B4FB9" w:rsidRPr="001C6E72" w14:paraId="1D695C95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90" w14:textId="77777777" w:rsidR="000B4FB9" w:rsidRPr="00F24591" w:rsidRDefault="000B4FB9" w:rsidP="00896CE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C5.6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91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n entre la colonne relative à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 précédent et l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 colonne contrôlée par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BNB et publié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en N-1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92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93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94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9B" w14:textId="77777777" w:rsidTr="008D79F0">
        <w:trPr>
          <w:trHeight w:val="255"/>
        </w:trPr>
        <w:tc>
          <w:tcPr>
            <w:tcW w:w="1039" w:type="dxa"/>
            <w:shd w:val="clear" w:color="auto" w:fill="auto"/>
            <w:noWrap/>
            <w:hideMark/>
          </w:tcPr>
          <w:p w14:paraId="1D695C96" w14:textId="77777777" w:rsidR="000B4FB9" w:rsidRPr="00F24591" w:rsidRDefault="000B4FB9" w:rsidP="00896CE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C5.6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97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Réconciliation des montants totaux avec 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actif (page C2.1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98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99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9A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A2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9C" w14:textId="77777777" w:rsidR="000B4FB9" w:rsidRPr="00F24591" w:rsidRDefault="000B4FB9" w:rsidP="00896CE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C9D" w14:textId="77777777" w:rsidR="000B4FB9" w:rsidRPr="00F24591" w:rsidRDefault="000B4FB9" w:rsidP="00896CE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C5.6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9E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Vérifier que la ventil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ation de la rubrique 490/1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actif a été effectuée si la rubrique représente un montant important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9F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A0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A1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CA4" w14:textId="77777777" w:rsidTr="008D79F0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CA3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 xml:space="preserve">ETAT DU CAPITAL </w:t>
            </w:r>
          </w:p>
        </w:tc>
      </w:tr>
      <w:tr w:rsidR="000B4FB9" w:rsidRPr="001C6E72" w14:paraId="1D695CAA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A5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C5.7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A6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n entre la colonne relative à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 précédent et l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a colonne contrôlée par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BNB et publié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en N-1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A7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A8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A9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B0" w14:textId="77777777" w:rsidTr="008D79F0">
        <w:trPr>
          <w:trHeight w:val="255"/>
        </w:trPr>
        <w:tc>
          <w:tcPr>
            <w:tcW w:w="1039" w:type="dxa"/>
            <w:shd w:val="clear" w:color="auto" w:fill="auto"/>
            <w:noWrap/>
            <w:hideMark/>
          </w:tcPr>
          <w:p w14:paraId="1D695CAB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C5.7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AC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des montants totaux avec le passif (page C2.2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AD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AE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AF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B7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CB1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CB2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C5.7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B3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liation entre la structure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actionnariat et le dossier permanent (ne pas mentionner les actionnaires personnes physiques)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B4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B5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B6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F24591" w14:paraId="1D695CBD" w14:textId="77777777" w:rsidTr="008D79F0">
        <w:trPr>
          <w:trHeight w:val="255"/>
        </w:trPr>
        <w:tc>
          <w:tcPr>
            <w:tcW w:w="1039" w:type="dxa"/>
            <w:shd w:val="clear" w:color="auto" w:fill="auto"/>
            <w:noWrap/>
            <w:hideMark/>
          </w:tcPr>
          <w:p w14:paraId="1D695CB8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C5.7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B9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Attention particulière au(x) :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BA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BB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BC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C3" w14:textId="77777777" w:rsidTr="008D79F0">
        <w:trPr>
          <w:trHeight w:val="255"/>
        </w:trPr>
        <w:tc>
          <w:tcPr>
            <w:tcW w:w="1039" w:type="dxa"/>
            <w:shd w:val="clear" w:color="auto" w:fill="auto"/>
            <w:noWrap/>
            <w:hideMark/>
          </w:tcPr>
          <w:p w14:paraId="1D695CBE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C5.7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BF" w14:textId="77777777" w:rsidR="000B4FB9" w:rsidRPr="00F24591" w:rsidRDefault="000B4FB9" w:rsidP="00896CE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12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capital non libéré et/ou non versé (actionnaire(s) redevable(s))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C0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C1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C2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F24591" w14:paraId="1D695CC9" w14:textId="77777777" w:rsidTr="008D79F0">
        <w:trPr>
          <w:trHeight w:val="255"/>
        </w:trPr>
        <w:tc>
          <w:tcPr>
            <w:tcW w:w="1039" w:type="dxa"/>
            <w:shd w:val="clear" w:color="auto" w:fill="auto"/>
            <w:noWrap/>
            <w:hideMark/>
          </w:tcPr>
          <w:p w14:paraId="1D695CC4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C5.7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C5" w14:textId="77777777" w:rsidR="000B4FB9" w:rsidRPr="00F24591" w:rsidRDefault="000B4FB9" w:rsidP="00896CE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12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actions propres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C6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C7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C8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F24591" w14:paraId="1D695CCF" w14:textId="77777777" w:rsidTr="008D79F0">
        <w:trPr>
          <w:trHeight w:val="255"/>
        </w:trPr>
        <w:tc>
          <w:tcPr>
            <w:tcW w:w="1039" w:type="dxa"/>
            <w:shd w:val="clear" w:color="auto" w:fill="auto"/>
            <w:noWrap/>
            <w:hideMark/>
          </w:tcPr>
          <w:p w14:paraId="1D695CCA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C5.7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CB" w14:textId="77777777" w:rsidR="000B4FB9" w:rsidRPr="00F24591" w:rsidRDefault="008D79F0" w:rsidP="00896CE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12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engagement d’</w:t>
            </w:r>
            <w:r w:rsidR="000B4FB9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émission d'actions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CC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CD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CE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F24591" w14:paraId="1D695CD5" w14:textId="77777777" w:rsidTr="008D79F0">
        <w:trPr>
          <w:trHeight w:val="255"/>
        </w:trPr>
        <w:tc>
          <w:tcPr>
            <w:tcW w:w="1039" w:type="dxa"/>
            <w:shd w:val="clear" w:color="auto" w:fill="auto"/>
            <w:noWrap/>
            <w:hideMark/>
          </w:tcPr>
          <w:p w14:paraId="1D695CD0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C5.7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D1" w14:textId="77777777" w:rsidR="000B4FB9" w:rsidRPr="00F24591" w:rsidRDefault="000B4FB9" w:rsidP="00896CE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12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capital autorisé non souscrit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D2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D3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D4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DB" w14:textId="77777777" w:rsidTr="008D79F0">
        <w:trPr>
          <w:trHeight w:val="255"/>
        </w:trPr>
        <w:tc>
          <w:tcPr>
            <w:tcW w:w="1039" w:type="dxa"/>
            <w:shd w:val="clear" w:color="auto" w:fill="auto"/>
            <w:noWrap/>
            <w:hideMark/>
          </w:tcPr>
          <w:p w14:paraId="1D695CD6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C5.7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D7" w14:textId="77777777" w:rsidR="000B4FB9" w:rsidRPr="00F24591" w:rsidRDefault="000B4FB9" w:rsidP="00896CE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412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parts non représentatives du capital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D8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D9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DA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1C6E72" w14:paraId="1D695CDD" w14:textId="77777777" w:rsidTr="008D79F0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CDC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PROVISIONS POUR AUTRES RISQUES ET CHARGES</w:t>
            </w:r>
          </w:p>
        </w:tc>
      </w:tr>
      <w:tr w:rsidR="000B4FB9" w:rsidRPr="001C6E72" w14:paraId="1D695CE3" w14:textId="77777777" w:rsidTr="008D79F0">
        <w:trPr>
          <w:trHeight w:val="809"/>
        </w:trPr>
        <w:tc>
          <w:tcPr>
            <w:tcW w:w="1039" w:type="dxa"/>
            <w:shd w:val="clear" w:color="auto" w:fill="auto"/>
            <w:noWrap/>
            <w:hideMark/>
          </w:tcPr>
          <w:p w14:paraId="1D695CDE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lastRenderedPageBreak/>
              <w:t>C5.8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DF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La ventilation des provisions a-t-elle été effectuée si les provisions représentent un montant important ?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E0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E1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E2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1C6E72" w14:paraId="1D695CE5" w14:textId="77777777" w:rsidTr="008D79F0">
        <w:trPr>
          <w:trHeight w:val="28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CE4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 xml:space="preserve">ETAT DES DETTES </w:t>
            </w:r>
            <w:r w:rsidR="00135CAA"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ET</w:t>
            </w: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 xml:space="preserve"> COMPTES DE REGULARISATION PASSIFS</w:t>
            </w:r>
          </w:p>
        </w:tc>
      </w:tr>
      <w:tr w:rsidR="000B4FB9" w:rsidRPr="001C6E72" w14:paraId="1D695CEC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CE6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CE7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C5.9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E8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Réconciliation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es informations du dossier permanent (tableaux de remboursement et conventions de prêts)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avec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les comptes du passif (page C2.2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E9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EA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EB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F2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CED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C5.9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EE" w14:textId="77777777" w:rsidR="000B4FB9" w:rsidRPr="00F24591" w:rsidRDefault="000B4FB9" w:rsidP="007B249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des dettes fiscales, salariales et sociales avec les comptes du passif et attention parti</w:t>
            </w:r>
            <w:r w:rsidR="007B249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culière à la répartition entre « 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échu</w:t>
            </w:r>
            <w:r w:rsidR="007B249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 »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 "</w:t>
            </w:r>
            <w:r w:rsidR="007B249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 « 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non échu</w:t>
            </w:r>
            <w:r w:rsidR="007B249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 »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et "estimé".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EF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F0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F1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CF8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F3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C5.9</w:t>
            </w:r>
            <w:r w:rsidR="008D79F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F4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Vérifier que la ventilation de la rubrique 492/3 du passif a été effectuée si la rubrique représente un montant important.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F5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F6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F7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CFA" w14:textId="77777777" w:rsidTr="008D79F0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CF9" w14:textId="77777777" w:rsidR="00E50D62" w:rsidRPr="00896CED" w:rsidRDefault="00E50D62" w:rsidP="007B249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RESULTATS D</w:t>
            </w:r>
            <w:r w:rsidR="007B2490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’</w:t>
            </w: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EXPLOITATION</w:t>
            </w:r>
          </w:p>
        </w:tc>
      </w:tr>
      <w:tr w:rsidR="000B4FB9" w:rsidRPr="001C6E72" w14:paraId="1D695D00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CFB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C5.10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CFC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des informations mentionnées avec le compte de résultat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(page C3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CFD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CFE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CFF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D06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01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C5.10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02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avec les travailleurs inscrits au registre du personnel ainsi que le personnel intérimai</w:t>
            </w:r>
            <w:r w:rsidR="007B249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re et/ou mis à disposition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entreprise et le bilan social (page C6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03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04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05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D08" w14:textId="77777777" w:rsidTr="008D79F0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1D695D07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RESULTATS FINANCIERS ET EXCEPTIONNELS</w:t>
            </w:r>
          </w:p>
        </w:tc>
      </w:tr>
      <w:tr w:rsidR="000B4FB9" w:rsidRPr="001C6E72" w14:paraId="1D695D0E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09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C5.11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0A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des informations mentionnées avec le compte de résultat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(page C3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0B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0C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0D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D14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0F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C5.11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10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Vérification que la ventilation des résultats exceptionnels a bien été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lastRenderedPageBreak/>
              <w:t>effectuée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11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12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13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D16" w14:textId="77777777" w:rsidTr="008D79F0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D15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IMPOTS ET TAXES</w:t>
            </w:r>
          </w:p>
        </w:tc>
      </w:tr>
      <w:tr w:rsidR="000B4FB9" w:rsidRPr="001C6E72" w14:paraId="1D695D1C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17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C5.12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18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des montants avec le compte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de résultats et le calcul de l’impôt tel qu’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audité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19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1A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1B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2B1123" w:rsidRPr="00896CED" w14:paraId="1D695D1E" w14:textId="77777777" w:rsidTr="002B1123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D1D" w14:textId="77777777" w:rsidR="002B1123" w:rsidRPr="00896CED" w:rsidRDefault="002B1123" w:rsidP="002B112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IMPOTS ET TAXES</w:t>
            </w:r>
          </w:p>
        </w:tc>
      </w:tr>
      <w:tr w:rsidR="000B4FB9" w:rsidRPr="001C6E72" w14:paraId="1D695D24" w14:textId="77777777" w:rsidTr="008D79F0">
        <w:trPr>
          <w:trHeight w:val="1020"/>
        </w:trPr>
        <w:tc>
          <w:tcPr>
            <w:tcW w:w="1039" w:type="dxa"/>
            <w:shd w:val="clear" w:color="auto" w:fill="auto"/>
            <w:noWrap/>
            <w:hideMark/>
          </w:tcPr>
          <w:p w14:paraId="1D695D1F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C5.12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20" w14:textId="77777777" w:rsidR="000B4FB9" w:rsidRPr="00F24591" w:rsidRDefault="000B4FB9" w:rsidP="00B0378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Réconciliation des principales sources de disparités (DNA, DIN, </w:t>
            </w:r>
            <w:r w:rsidR="007B249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etc.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 et/ou latences fiscales (pertes fisca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les reportées) avec le calcul d’impôt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 et la déclaration fiscale de N-1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21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22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23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D2A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25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C5.12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26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Vérification que les montants de TVA ont été calculés correctement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27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28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29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D30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2B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C5.12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2C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du montant des précomptes retenus à charge d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 tiers avec le relevé 325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année et/ou les déclarations introduites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2D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2E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2F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1C6E72" w14:paraId="1D695D32" w14:textId="77777777" w:rsidTr="008D79F0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14:paraId="1D695D31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DROITS ET ENGAGEMENTS HORS BILAN</w:t>
            </w:r>
          </w:p>
        </w:tc>
      </w:tr>
      <w:tr w:rsidR="000B4FB9" w:rsidRPr="001C6E72" w14:paraId="1D695D38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33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C5.13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34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des montants avec les informations contenues dans le dossier permanent (conventions de prêt)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35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36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37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D3E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39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C5.13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3A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Utilisation des confirmations bancaires et des attestations hypothécaires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3B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3C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3D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D44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3F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C5.13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40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Vérification de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 différents contrats afin de s’assurer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exhaustivité des informations reprises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41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42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43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D4C" w14:textId="77777777" w:rsidTr="008D79F0">
        <w:trPr>
          <w:trHeight w:val="1020"/>
        </w:trPr>
        <w:tc>
          <w:tcPr>
            <w:tcW w:w="1039" w:type="dxa"/>
            <w:shd w:val="clear" w:color="auto" w:fill="auto"/>
            <w:noWrap/>
            <w:hideMark/>
          </w:tcPr>
          <w:p w14:paraId="1D695D45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D46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D47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C5.13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48" w14:textId="77777777" w:rsidR="000B4FB9" w:rsidRPr="00F24591" w:rsidRDefault="002B1123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Mention de la nature et de l’</w:t>
            </w:r>
            <w:r w:rsidR="000B4FB9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objectif commercial des opérations non inscrites au bilan si les risques et avantages qui en découlent seront s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ignificatifs et nécessaires à l’</w:t>
            </w:r>
            <w:r w:rsidR="000B4FB9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appréciation de la </w:t>
            </w:r>
            <w:r w:rsidR="000B4FB9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lastRenderedPageBreak/>
              <w:t>situation financière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49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4A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4B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B4FB9" w:rsidRPr="001C6E72" w14:paraId="1D695D52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4D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C5.13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4E" w14:textId="77777777" w:rsidR="000B4FB9" w:rsidRPr="00F24591" w:rsidRDefault="000B4FB9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Mention des opérations de couverture sur marché à terme (marchandises et/ou devises achetées et/ou vendues à terme)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4F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50" w14:textId="77777777" w:rsidR="000B4FB9" w:rsidRPr="00F24591" w:rsidRDefault="000B4FB9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51" w14:textId="77777777" w:rsidR="000B4FB9" w:rsidRPr="00F24591" w:rsidRDefault="000B4FB9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59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53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C5.13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54" w14:textId="77777777" w:rsidR="00C108D6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Mention des engagements pour pensions et description du régime de pensions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  <w:p w14:paraId="1D695D55" w14:textId="77777777" w:rsidR="002B1123" w:rsidRPr="00F24591" w:rsidRDefault="002B1123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961" w:type="dxa"/>
            <w:shd w:val="clear" w:color="auto" w:fill="auto"/>
            <w:hideMark/>
          </w:tcPr>
          <w:p w14:paraId="1D695D56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57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58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1C6E72" w14:paraId="1D695D5B" w14:textId="77777777" w:rsidTr="008D79F0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D5A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RELATIONS AVEC LES ENTREPRISES LIEES</w:t>
            </w:r>
          </w:p>
        </w:tc>
      </w:tr>
      <w:tr w:rsidR="00C108D6" w:rsidRPr="001C6E72" w14:paraId="1D695D61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5C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C5.14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5D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entre le montant des immobilisations financières (répartition entre entreprises liées et entreprises a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vec lien de participation) et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actif du bilan (page C2.1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5E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5F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60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67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62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C5.14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63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Vérification dans les comptes de créances, placements de trésorerie et de dettes que tous les comptes interco ont été pointés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64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65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66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6D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68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C5.14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69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Attention particulière aux droits et engagements hors bilan interco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6A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6B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6C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73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6E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C5.14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6F" w14:textId="77777777" w:rsidR="00C108D6" w:rsidRPr="00F24591" w:rsidRDefault="00C108D6" w:rsidP="00B0378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Attention particulière aux résultats financiers interco (intérêts sur prêts, d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ividendes, 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etc.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 et aux cessions d’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actifs immobilisés interco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70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71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72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79" w14:textId="77777777" w:rsidTr="008D79F0">
        <w:trPr>
          <w:trHeight w:val="1530"/>
        </w:trPr>
        <w:tc>
          <w:tcPr>
            <w:tcW w:w="1039" w:type="dxa"/>
            <w:shd w:val="clear" w:color="auto" w:fill="auto"/>
            <w:noWrap/>
            <w:hideMark/>
          </w:tcPr>
          <w:p w14:paraId="1D695D74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C5.14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000000" w:fill="FFFFFF"/>
            <w:hideMark/>
          </w:tcPr>
          <w:p w14:paraId="1D695D75" w14:textId="77777777" w:rsidR="00C108D6" w:rsidRPr="00F24591" w:rsidRDefault="00C108D6" w:rsidP="002B112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Mention des transactions avec les parties liées (sociétés filles, sœurs, mères, administrateurs, g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érants, actionnaires, membres d’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organes d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 gestion, de surveillance et d’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administration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) effectuées dans des conditions autres que celles du marché sauf si elles sont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lastRenderedPageBreak/>
              <w:t>effectuées avec une filiale détenue à plus de 99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%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76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77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78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1C6E72" w14:paraId="1D695D7B" w14:textId="77777777" w:rsidTr="008D79F0">
        <w:trPr>
          <w:trHeight w:val="28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D7A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RELATIONS AVEC LES ADMINISTRATEURS, GERANTS ET COMMISSAIRES</w:t>
            </w:r>
          </w:p>
        </w:tc>
      </w:tr>
      <w:tr w:rsidR="00C108D6" w:rsidRPr="001C6E72" w14:paraId="1D695D81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7C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C5.15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7D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Vérification dans les comptes de créances et de dettes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de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tous les comptes en rapport avec les personnes reprises en page C1.1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7E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7F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80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88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82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C5.15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83" w14:textId="77777777" w:rsidR="00C108D6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Vérifier qu'aucune mission n'a été réalisée par le commissaire (autre que le mandat), sinon mentionner les honoraires facturés dans la rubrique </w:t>
            </w:r>
            <w:r w:rsidRPr="00B0378C">
              <w:rPr>
                <w:rFonts w:ascii="Arial" w:eastAsia="Times New Roman" w:hAnsi="Arial" w:cs="Arial"/>
                <w:i/>
                <w:sz w:val="20"/>
                <w:szCs w:val="20"/>
                <w:lang w:val="fr-BE"/>
              </w:rPr>
              <w:t>ad hoc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  <w:p w14:paraId="1D695D84" w14:textId="77777777" w:rsidR="002B1123" w:rsidRPr="00F24591" w:rsidRDefault="002B1123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961" w:type="dxa"/>
            <w:shd w:val="clear" w:color="auto" w:fill="auto"/>
            <w:hideMark/>
          </w:tcPr>
          <w:p w14:paraId="1D695D85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86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87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2B1123" w:rsidRPr="001C6E72" w14:paraId="1D695D8A" w14:textId="77777777" w:rsidTr="002B1123">
        <w:trPr>
          <w:trHeight w:val="28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D89" w14:textId="77777777" w:rsidR="002B1123" w:rsidRPr="00896CED" w:rsidRDefault="002B1123" w:rsidP="002B112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RELATIONS AVEC LES ADMINISTRATEURS, GERANTS ET COMMISSAIRES</w:t>
            </w:r>
          </w:p>
        </w:tc>
      </w:tr>
      <w:tr w:rsidR="00C108D6" w:rsidRPr="001C6E72" w14:paraId="1D695D90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8B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C5.15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8C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Mention des émoluments de commissaire de la société ET de ses filiales pour les sociétés fai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sant recours à l'exception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article 112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du C. Soc.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8D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8E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8F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1C6E72" w14:paraId="1D695D92" w14:textId="77777777" w:rsidTr="008D79F0">
        <w:trPr>
          <w:trHeight w:val="337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D91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INSTRUMENTS FINANCIERS DERIVES NON EVALUES A LA JUSTE VALEUR</w:t>
            </w:r>
          </w:p>
        </w:tc>
      </w:tr>
      <w:tr w:rsidR="00C108D6" w:rsidRPr="001C6E72" w14:paraId="1D695D98" w14:textId="77777777" w:rsidTr="008D79F0">
        <w:trPr>
          <w:trHeight w:val="255"/>
        </w:trPr>
        <w:tc>
          <w:tcPr>
            <w:tcW w:w="1039" w:type="dxa"/>
            <w:shd w:val="clear" w:color="auto" w:fill="auto"/>
            <w:noWrap/>
            <w:hideMark/>
          </w:tcPr>
          <w:p w14:paraId="1D695D93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C5.16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94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Attention particulière à ces instruments financiers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95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96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97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D9A" w14:textId="77777777" w:rsidTr="008D79F0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D99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COMPTES CONSOLIDES</w:t>
            </w:r>
          </w:p>
        </w:tc>
      </w:tr>
      <w:tr w:rsidR="00C108D6" w:rsidRPr="001C6E72" w14:paraId="1D695DA1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9B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D9C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C5.17.1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9D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Vérification, le cas 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échéant, que la justification d’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exemption de consolidation est correcte et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que l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es documents justificatifs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ont été reçus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9E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9F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A0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A7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A2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C5.17.1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A3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Vérification que les coordonnées de la société mère qui consolide soient bien reprises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A4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A5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A6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AD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A8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lastRenderedPageBreak/>
              <w:t>C5.17.1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A9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Vé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rification de la structure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actionnariat de la société avec le dossier permanent et la page C5.7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AA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AB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AC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B3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AE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C5.17.1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AF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cas échéant, justification du non-dépôt des comptes annuels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B0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B1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B2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BA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B4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DB5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C5.17.2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B6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Vérification que les informations liées aux rémunérations du commissaire sont bien complétées si les comptes annuels sont relatifs à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la société-mère en 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Belgique.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B7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B8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B9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DBC" w14:textId="77777777" w:rsidTr="008D79F0">
        <w:trPr>
          <w:trHeight w:val="255"/>
        </w:trPr>
        <w:tc>
          <w:tcPr>
            <w:tcW w:w="12334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D695DBB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BILAN SOCIAL</w:t>
            </w:r>
          </w:p>
        </w:tc>
      </w:tr>
      <w:tr w:rsidR="00C108D6" w:rsidRPr="001C6E72" w14:paraId="1D695DC2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BD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C6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BE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cas échéant, réconciliation avec le bilan social reçu du secrétariat social et audité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shd w:val="clear" w:color="auto" w:fill="auto"/>
            <w:hideMark/>
          </w:tcPr>
          <w:p w14:paraId="1D695DBF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C0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C1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C9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C3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C6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C4" w14:textId="77777777" w:rsidR="00C108D6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du nombre de membres du personnel avec le listing DIMONA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  <w:p w14:paraId="1D695DC5" w14:textId="77777777" w:rsidR="002B1123" w:rsidRPr="00F24591" w:rsidRDefault="002B1123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961" w:type="dxa"/>
            <w:shd w:val="clear" w:color="auto" w:fill="auto"/>
            <w:hideMark/>
          </w:tcPr>
          <w:p w14:paraId="1D695DC6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695DC7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14:paraId="1D695DC8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1D695DCA" w14:textId="77777777" w:rsidR="00F15245" w:rsidRPr="00F37CC5" w:rsidRDefault="00F15245">
      <w:pPr>
        <w:rPr>
          <w:lang w:val="fr-BE"/>
        </w:rPr>
      </w:pPr>
      <w:r w:rsidRPr="00F37CC5">
        <w:rPr>
          <w:lang w:val="fr-BE"/>
        </w:rPr>
        <w:br w:type="page"/>
      </w:r>
    </w:p>
    <w:tbl>
      <w:tblPr>
        <w:tblW w:w="123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3924"/>
        <w:gridCol w:w="864"/>
        <w:gridCol w:w="97"/>
        <w:gridCol w:w="864"/>
        <w:gridCol w:w="141"/>
        <w:gridCol w:w="864"/>
        <w:gridCol w:w="4541"/>
      </w:tblGrid>
      <w:tr w:rsidR="002B1123" w:rsidRPr="00896CED" w14:paraId="1D695DCC" w14:textId="77777777" w:rsidTr="002B1123">
        <w:trPr>
          <w:trHeight w:val="255"/>
        </w:trPr>
        <w:tc>
          <w:tcPr>
            <w:tcW w:w="12334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1D695DCB" w14:textId="77777777" w:rsidR="002B1123" w:rsidRPr="00896CED" w:rsidRDefault="002B1123" w:rsidP="002B1123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lastRenderedPageBreak/>
              <w:t>BILAN SOCIAL</w:t>
            </w:r>
          </w:p>
        </w:tc>
      </w:tr>
      <w:tr w:rsidR="00C108D6" w:rsidRPr="001C6E72" w14:paraId="1D695DD2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CD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C6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CE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n entre la colonne relative à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 précédent et l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a colonne contrôlée par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BNB et publié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en N-1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DCF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DD0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DD1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D8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D3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C6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D4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Effectuer un test de vraisemblance entre les frais de personnel et les heures prestées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DD5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DD6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DD7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DE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D9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C6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DA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Réconciliation entre les différents montants et les comptes 617 et 62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DDB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DDC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DDD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E4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DF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C6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E0" w14:textId="77777777" w:rsidR="00C108D6" w:rsidRPr="00F24591" w:rsidRDefault="00C108D6" w:rsidP="002B112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Vérification que les frais de formation comprennent aussi bien les frais directs (inscriptions aux séminaires,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etc.)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qu’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indirects (salaires des participants, frais de déplacement,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etc.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DE1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DE2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DE3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DE6" w14:textId="77777777" w:rsidTr="008D79F0">
        <w:trPr>
          <w:trHeight w:val="255"/>
        </w:trPr>
        <w:tc>
          <w:tcPr>
            <w:tcW w:w="12334" w:type="dxa"/>
            <w:gridSpan w:val="8"/>
            <w:shd w:val="clear" w:color="auto" w:fill="D9D9D9" w:themeFill="background1" w:themeFillShade="D9"/>
            <w:noWrap/>
            <w:vAlign w:val="bottom"/>
            <w:hideMark/>
          </w:tcPr>
          <w:p w14:paraId="1D695DE5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REGLES D'EVALUATION</w:t>
            </w:r>
          </w:p>
        </w:tc>
      </w:tr>
      <w:tr w:rsidR="00C108D6" w:rsidRPr="001C6E72" w14:paraId="1D695DEC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E7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C7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E8" w14:textId="77777777" w:rsidR="00C108D6" w:rsidRPr="00F24591" w:rsidRDefault="002B1123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Les règles d’</w:t>
            </w:r>
            <w:r w:rsidR="00C108D6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évaluation mentionnées en annexe des comptes annuels sont-elles conformes aux règles utilisées pour la préparation des comptes audités ?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DE9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DEA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DEB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F3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DED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DEE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C7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EF" w14:textId="77777777" w:rsidR="00C108D6" w:rsidRPr="00F24591" w:rsidRDefault="00C108D6" w:rsidP="00B0378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Effec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tuer le lien entre les règles d’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évaluation mentionnées en annexe des comptes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annuels, le 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dossier permanent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et les règles d’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évaluat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ion approuvées par le conseil d’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administration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DF0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DF1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DF2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F9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F4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C7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F5" w14:textId="77777777" w:rsidR="00C108D6" w:rsidRPr="00F24591" w:rsidRDefault="002B1123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cas échéant, l’</w:t>
            </w:r>
            <w:r w:rsidR="00C108D6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impact chiff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ré d'un changement de méthode d’</w:t>
            </w:r>
            <w:r w:rsidR="00C108D6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évaluation est-il mentionné ?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DF6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DF7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DF8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DFF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DFA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C7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DFB" w14:textId="77777777" w:rsidR="00C108D6" w:rsidRPr="00F24591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Une attention particulière a-t-elle été portée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à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la description des règles d’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évaluation: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DFC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DFD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DFE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E05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E00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C7</w:t>
            </w:r>
            <w:r w:rsidR="002B1123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E01" w14:textId="77777777" w:rsidR="00C108D6" w:rsidRPr="00A44A9C" w:rsidRDefault="00C108D6" w:rsidP="00896CE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459" w:hanging="283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justification de 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la réalisation des conditions d’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activation des charges de restructuration (art. 58 A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lastRenderedPageBreak/>
              <w:t>30/01/2001)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E02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E03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E04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B919EE" w:rsidRPr="00896CED" w14:paraId="1D695E07" w14:textId="77777777" w:rsidTr="007B2490">
        <w:trPr>
          <w:trHeight w:val="255"/>
        </w:trPr>
        <w:tc>
          <w:tcPr>
            <w:tcW w:w="12334" w:type="dxa"/>
            <w:gridSpan w:val="8"/>
            <w:shd w:val="clear" w:color="auto" w:fill="D9D9D9" w:themeFill="background1" w:themeFillShade="D9"/>
            <w:noWrap/>
            <w:vAlign w:val="bottom"/>
            <w:hideMark/>
          </w:tcPr>
          <w:p w14:paraId="1D695E06" w14:textId="77777777" w:rsidR="00B919EE" w:rsidRPr="00896CED" w:rsidRDefault="00B919EE" w:rsidP="007B249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REGLES D'EVALUATION</w:t>
            </w:r>
          </w:p>
        </w:tc>
      </w:tr>
      <w:tr w:rsidR="00C108D6" w:rsidRPr="001C6E72" w14:paraId="1D695E0E" w14:textId="77777777" w:rsidTr="008D79F0">
        <w:trPr>
          <w:trHeight w:val="601"/>
        </w:trPr>
        <w:tc>
          <w:tcPr>
            <w:tcW w:w="1039" w:type="dxa"/>
            <w:shd w:val="clear" w:color="auto" w:fill="auto"/>
            <w:noWrap/>
            <w:hideMark/>
          </w:tcPr>
          <w:p w14:paraId="1D695E08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E09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C7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E0A" w14:textId="77777777" w:rsidR="00C108D6" w:rsidRPr="00A44A9C" w:rsidRDefault="00C108D6" w:rsidP="00896CE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459" w:hanging="283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justification de 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la plus-value de réévaluation d’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immobilisations corporelles et/ou participations et actions détenues en immobilisation financière (art. 56 A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30/01/2001)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E0B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E0C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E0D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E14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E0F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C7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E10" w14:textId="77777777" w:rsidR="00C108D6" w:rsidRPr="00A44A9C" w:rsidRDefault="00C108D6" w:rsidP="00896CE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459" w:hanging="283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j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ustification de la dérogation d’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amortir le goodwil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et/ou frais de recherches et développement sur plus de 5 ans (art. 61 A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30/01/2001)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E11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E12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E13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E1B" w14:textId="77777777" w:rsidTr="008D79F0">
        <w:trPr>
          <w:trHeight w:val="765"/>
        </w:trPr>
        <w:tc>
          <w:tcPr>
            <w:tcW w:w="1039" w:type="dxa"/>
            <w:shd w:val="clear" w:color="auto" w:fill="auto"/>
            <w:noWrap/>
            <w:hideMark/>
          </w:tcPr>
          <w:p w14:paraId="1D695E15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E16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C7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E17" w14:textId="77777777" w:rsidR="00C108D6" w:rsidRPr="00A44A9C" w:rsidRDefault="00B919EE" w:rsidP="00896CE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459" w:hanging="283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mention de l’activation des charges d’</w:t>
            </w:r>
            <w:r w:rsidR="00C108D6"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intérêts dans la valeur des immobilisations incorporelles, corporelles et/ou stocks (art. 38 A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="00C108D6"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="00C108D6"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30/01/2001)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E18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E19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E1A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E21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E1C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C7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E1D" w14:textId="77777777" w:rsidR="00C108D6" w:rsidRPr="00A44A9C" w:rsidRDefault="00C108D6" w:rsidP="00896CE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459" w:hanging="283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justification de la dérogation au principe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d’image fidèle dans les règles d’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évaluation (art. 29 A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Pr="00A44A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30/01/2001)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E1E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E1F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E20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B0378C" w14:paraId="1D695E23" w14:textId="77777777" w:rsidTr="008D79F0">
        <w:trPr>
          <w:trHeight w:val="255"/>
        </w:trPr>
        <w:tc>
          <w:tcPr>
            <w:tcW w:w="12334" w:type="dxa"/>
            <w:gridSpan w:val="8"/>
            <w:shd w:val="clear" w:color="auto" w:fill="D9D9D9" w:themeFill="background1" w:themeFillShade="D9"/>
            <w:noWrap/>
            <w:vAlign w:val="bottom"/>
            <w:hideMark/>
          </w:tcPr>
          <w:p w14:paraId="1D695E22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RAPPORT DE GESTION</w:t>
            </w:r>
          </w:p>
        </w:tc>
      </w:tr>
      <w:tr w:rsidR="00C108D6" w:rsidRPr="001C6E72" w14:paraId="1D695E29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E24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C8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E25" w14:textId="77777777" w:rsidR="00C108D6" w:rsidRPr="00F24591" w:rsidRDefault="00B919EE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rapport de gestion tel qu’</w:t>
            </w:r>
            <w:r w:rsidR="00C108D6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audité est-il annexé aux comptes annuels ?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E26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E27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E28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C108D6" w:rsidRPr="001C6E72" w14:paraId="1D695E32" w14:textId="77777777" w:rsidTr="008D79F0">
        <w:trPr>
          <w:trHeight w:val="1275"/>
        </w:trPr>
        <w:tc>
          <w:tcPr>
            <w:tcW w:w="1039" w:type="dxa"/>
            <w:shd w:val="clear" w:color="auto" w:fill="auto"/>
            <w:noWrap/>
            <w:hideMark/>
          </w:tcPr>
          <w:p w14:paraId="1D695E2A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E2B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E2C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E2D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C8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E2E" w14:textId="77777777" w:rsidR="00C108D6" w:rsidRPr="00F24591" w:rsidRDefault="00C108D6" w:rsidP="00B0378C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Pour les petites sociétés établissant des co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mptes annuels abrégés, en cas d’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abs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ence de rapport de gestion et d’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application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articl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 96,</w:t>
            </w:r>
            <w:r w:rsidR="00B0378C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§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="00B0378C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, 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6°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C. Soc.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 la justification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application des règles de continuité est-elle reprise en annexe des comptes annuels ?</w:t>
            </w: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E2F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E30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E31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E34" w14:textId="77777777" w:rsidTr="008D79F0">
        <w:trPr>
          <w:trHeight w:val="255"/>
        </w:trPr>
        <w:tc>
          <w:tcPr>
            <w:tcW w:w="12334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1D695E33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RAPPORT DE COMMISSAIRE</w:t>
            </w:r>
          </w:p>
        </w:tc>
      </w:tr>
      <w:tr w:rsidR="00C108D6" w:rsidRPr="001C6E72" w14:paraId="1D695E3C" w14:textId="77777777" w:rsidTr="008D79F0">
        <w:trPr>
          <w:trHeight w:val="510"/>
        </w:trPr>
        <w:tc>
          <w:tcPr>
            <w:tcW w:w="1039" w:type="dxa"/>
            <w:shd w:val="clear" w:color="auto" w:fill="auto"/>
            <w:noWrap/>
            <w:hideMark/>
          </w:tcPr>
          <w:p w14:paraId="1D695E35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lastRenderedPageBreak/>
              <w:t>C9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3924" w:type="dxa"/>
            <w:shd w:val="clear" w:color="auto" w:fill="auto"/>
            <w:hideMark/>
          </w:tcPr>
          <w:p w14:paraId="1D695E36" w14:textId="77777777" w:rsidR="00C108D6" w:rsidRDefault="00C108D6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rapport du commissaire est-il annexé aux comptes annuels ?</w:t>
            </w:r>
          </w:p>
          <w:p w14:paraId="1D695E37" w14:textId="77777777" w:rsidR="00B919EE" w:rsidRDefault="00B919EE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E38" w14:textId="77777777" w:rsidR="00B919EE" w:rsidRPr="00F24591" w:rsidRDefault="00B919EE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E39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E3A" w14:textId="77777777" w:rsidR="00C108D6" w:rsidRPr="00F24591" w:rsidRDefault="00C108D6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14:paraId="1D695E3B" w14:textId="77777777" w:rsidR="00C108D6" w:rsidRPr="00F24591" w:rsidRDefault="00C108D6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E50D62" w:rsidRPr="00896CED" w14:paraId="1D695E3E" w14:textId="77777777" w:rsidTr="008D79F0">
        <w:trPr>
          <w:trHeight w:val="255"/>
        </w:trPr>
        <w:tc>
          <w:tcPr>
            <w:tcW w:w="12334" w:type="dxa"/>
            <w:gridSpan w:val="8"/>
            <w:shd w:val="clear" w:color="auto" w:fill="D9D9D9" w:themeFill="background1" w:themeFillShade="D9"/>
            <w:noWrap/>
            <w:vAlign w:val="center"/>
            <w:hideMark/>
          </w:tcPr>
          <w:p w14:paraId="1D695E3D" w14:textId="77777777" w:rsidR="00E50D62" w:rsidRPr="00896CED" w:rsidRDefault="00E50D62" w:rsidP="00F245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6CE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AUTRE ANNEXE</w:t>
            </w:r>
          </w:p>
        </w:tc>
      </w:tr>
      <w:tr w:rsidR="0094218A" w:rsidRPr="001C6E72" w14:paraId="1D695E48" w14:textId="77777777" w:rsidTr="008D79F0">
        <w:trPr>
          <w:trHeight w:val="1275"/>
        </w:trPr>
        <w:tc>
          <w:tcPr>
            <w:tcW w:w="1039" w:type="dxa"/>
            <w:shd w:val="clear" w:color="auto" w:fill="auto"/>
            <w:noWrap/>
            <w:hideMark/>
          </w:tcPr>
          <w:p w14:paraId="1D695E3F" w14:textId="77777777" w:rsidR="00F24591" w:rsidRPr="00F24591" w:rsidRDefault="00F24591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E40" w14:textId="77777777" w:rsidR="00F24591" w:rsidRPr="00F24591" w:rsidRDefault="00F24591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E41" w14:textId="77777777" w:rsidR="00F24591" w:rsidRPr="00F24591" w:rsidRDefault="00F24591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D695E42" w14:textId="77777777" w:rsidR="00F24591" w:rsidRPr="00F24591" w:rsidRDefault="00F24591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3924" w:type="dxa"/>
            <w:shd w:val="clear" w:color="auto" w:fill="auto"/>
            <w:hideMark/>
          </w:tcPr>
          <w:p w14:paraId="1D695E43" w14:textId="77777777" w:rsidR="00F24591" w:rsidRPr="00F24591" w:rsidRDefault="00F24591" w:rsidP="00896CE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Dans les sociétés non tenues de déposer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un rapport de gestion en cas d’application de l’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article 96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="00B0378C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§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="00B0378C"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, 6° </w:t>
            </w:r>
            <w:r w:rsidR="00B0378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C. Soc.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(perte reportée au bilan ou résultat en perte deux années consécutive</w:t>
            </w:r>
            <w:r w:rsidR="00BA186F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)</w:t>
            </w:r>
            <w:r w:rsidR="0014033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est-il fait mention de la justification de l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’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application des règles comptables de continuité</w:t>
            </w:r>
            <w:r w:rsidR="00B919EE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F24591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?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1D695E44" w14:textId="77777777" w:rsidR="00F24591" w:rsidRPr="00F24591" w:rsidRDefault="00F24591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961" w:type="dxa"/>
            <w:gridSpan w:val="2"/>
            <w:shd w:val="clear" w:color="auto" w:fill="auto"/>
            <w:hideMark/>
          </w:tcPr>
          <w:p w14:paraId="1D695E45" w14:textId="77777777" w:rsidR="00F24591" w:rsidRPr="00F24591" w:rsidRDefault="00F24591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05" w:type="dxa"/>
            <w:gridSpan w:val="2"/>
            <w:shd w:val="clear" w:color="auto" w:fill="auto"/>
            <w:noWrap/>
            <w:vAlign w:val="center"/>
            <w:hideMark/>
          </w:tcPr>
          <w:p w14:paraId="1D695E46" w14:textId="77777777" w:rsidR="00F24591" w:rsidRPr="00F24591" w:rsidRDefault="00F24591" w:rsidP="00F245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41" w:type="dxa"/>
            <w:shd w:val="clear" w:color="auto" w:fill="auto"/>
            <w:vAlign w:val="center"/>
            <w:hideMark/>
          </w:tcPr>
          <w:p w14:paraId="1D695E47" w14:textId="77777777" w:rsidR="00F24591" w:rsidRPr="00F24591" w:rsidRDefault="00F24591" w:rsidP="00F245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"/>
        <w:tblW w:w="12333" w:type="dxa"/>
        <w:tblInd w:w="108" w:type="dxa"/>
        <w:tblLook w:val="01E0" w:firstRow="1" w:lastRow="1" w:firstColumn="1" w:lastColumn="1" w:noHBand="0" w:noVBand="0"/>
      </w:tblPr>
      <w:tblGrid>
        <w:gridCol w:w="4962"/>
        <w:gridCol w:w="1842"/>
        <w:gridCol w:w="2552"/>
        <w:gridCol w:w="2977"/>
      </w:tblGrid>
      <w:tr w:rsidR="00B919EE" w:rsidRPr="001C6E72" w14:paraId="1D695E4D" w14:textId="77777777" w:rsidTr="00B919EE">
        <w:trPr>
          <w:trHeight w:val="35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695E49" w14:textId="77777777" w:rsidR="00B919EE" w:rsidRPr="002E3AE7" w:rsidRDefault="00B919EE" w:rsidP="007B2490">
            <w:pPr>
              <w:pStyle w:val="Vrijevorm"/>
              <w:tabs>
                <w:tab w:val="left" w:pos="7920"/>
              </w:tabs>
              <w:spacing w:before="60" w:after="6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fr-BE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695E4A" w14:textId="77777777" w:rsidR="00B919EE" w:rsidRPr="00691B21" w:rsidRDefault="00B919EE" w:rsidP="007B2490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D695E4B" w14:textId="77777777" w:rsidR="00B919EE" w:rsidRPr="00691B21" w:rsidRDefault="00B919EE" w:rsidP="007B2490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D695E4C" w14:textId="77777777" w:rsidR="00B919EE" w:rsidRPr="00691B21" w:rsidRDefault="00B919EE" w:rsidP="007B2490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B919EE" w:rsidRPr="001C6E72" w14:paraId="1D695E52" w14:textId="77777777" w:rsidTr="00B919EE">
        <w:trPr>
          <w:trHeight w:val="353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95E4E" w14:textId="77777777" w:rsidR="00B919EE" w:rsidRPr="002E3AE7" w:rsidRDefault="00B919EE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fr-BE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95E4F" w14:textId="77777777" w:rsidR="00B919EE" w:rsidRPr="00691B21" w:rsidRDefault="00B919EE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95E50" w14:textId="77777777" w:rsidR="00B919EE" w:rsidRPr="00691B21" w:rsidRDefault="00B919EE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95E51" w14:textId="77777777" w:rsidR="00B919EE" w:rsidRPr="00691B21" w:rsidRDefault="00B919EE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6639EC" w:rsidRPr="00691B21" w14:paraId="1D695E57" w14:textId="77777777" w:rsidTr="00B919EE">
        <w:trPr>
          <w:trHeight w:val="353"/>
        </w:trPr>
        <w:tc>
          <w:tcPr>
            <w:tcW w:w="4962" w:type="dxa"/>
            <w:tcBorders>
              <w:top w:val="single" w:sz="4" w:space="0" w:color="auto"/>
            </w:tcBorders>
          </w:tcPr>
          <w:p w14:paraId="1D695E53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2E3AE7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fr-BE" w:eastAsia="en-US"/>
              </w:rPr>
              <w:br w:type="page"/>
            </w: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Préparé par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D695E54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D695E55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D695E56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6639EC" w:rsidRPr="00691B21" w14:paraId="1D695E5C" w14:textId="77777777" w:rsidTr="00896CED">
        <w:trPr>
          <w:trHeight w:val="352"/>
        </w:trPr>
        <w:tc>
          <w:tcPr>
            <w:tcW w:w="4962" w:type="dxa"/>
          </w:tcPr>
          <w:p w14:paraId="1D695E58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Revu par</w:t>
            </w:r>
            <w:r>
              <w:rPr>
                <w:rFonts w:ascii="Arial" w:hAnsi="Arial" w:cs="Arial"/>
                <w:color w:val="auto"/>
                <w:sz w:val="20"/>
                <w:lang w:val="fr-BE"/>
              </w:rPr>
              <w:t xml:space="preserve"> l’associé responsable de la mission</w:t>
            </w:r>
          </w:p>
        </w:tc>
        <w:tc>
          <w:tcPr>
            <w:tcW w:w="1842" w:type="dxa"/>
          </w:tcPr>
          <w:p w14:paraId="1D695E59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552" w:type="dxa"/>
          </w:tcPr>
          <w:p w14:paraId="1D695E5A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977" w:type="dxa"/>
          </w:tcPr>
          <w:p w14:paraId="1D695E5B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6639EC" w:rsidRPr="003B0D1E" w14:paraId="1D695E61" w14:textId="77777777" w:rsidTr="00896CED">
        <w:trPr>
          <w:trHeight w:val="352"/>
        </w:trPr>
        <w:tc>
          <w:tcPr>
            <w:tcW w:w="4962" w:type="dxa"/>
          </w:tcPr>
          <w:p w14:paraId="1D695E5D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>
              <w:rPr>
                <w:rFonts w:ascii="Arial" w:hAnsi="Arial" w:cs="Arial"/>
                <w:color w:val="auto"/>
                <w:sz w:val="20"/>
                <w:lang w:val="fr-BE"/>
              </w:rPr>
              <w:t xml:space="preserve">Revu par le responsable contrôle qualité </w:t>
            </w:r>
          </w:p>
        </w:tc>
        <w:tc>
          <w:tcPr>
            <w:tcW w:w="1842" w:type="dxa"/>
          </w:tcPr>
          <w:p w14:paraId="1D695E5E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552" w:type="dxa"/>
          </w:tcPr>
          <w:p w14:paraId="1D695E5F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977" w:type="dxa"/>
          </w:tcPr>
          <w:p w14:paraId="1D695E60" w14:textId="77777777" w:rsidR="006639EC" w:rsidRPr="00691B21" w:rsidRDefault="006639EC" w:rsidP="00F94489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</w:tbl>
    <w:p w14:paraId="1D695E62" w14:textId="77777777" w:rsidR="00127B5A" w:rsidRPr="002E600E" w:rsidRDefault="00127B5A" w:rsidP="00A44A9C">
      <w:pPr>
        <w:rPr>
          <w:lang w:val="fr-BE"/>
        </w:rPr>
      </w:pPr>
    </w:p>
    <w:sectPr w:rsidR="00127B5A" w:rsidRPr="002E600E" w:rsidSect="00A44A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5E65" w14:textId="77777777" w:rsidR="00B0378C" w:rsidRDefault="00B0378C" w:rsidP="002E600E">
      <w:pPr>
        <w:spacing w:after="0" w:line="240" w:lineRule="auto"/>
      </w:pPr>
      <w:r>
        <w:separator/>
      </w:r>
    </w:p>
  </w:endnote>
  <w:endnote w:type="continuationSeparator" w:id="0">
    <w:p w14:paraId="1D695E66" w14:textId="77777777" w:rsidR="00B0378C" w:rsidRDefault="00B0378C" w:rsidP="002E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842C" w14:textId="77777777" w:rsidR="00F37CC5" w:rsidRDefault="00F37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5E68" w14:textId="77777777" w:rsidR="00B0378C" w:rsidRDefault="00B0378C" w:rsidP="002E3AE7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2E3AE7">
      <w:rPr>
        <w:rFonts w:ascii="Arial" w:hAnsi="Arial" w:cs="Arial"/>
        <w:sz w:val="18"/>
        <w:szCs w:val="18"/>
      </w:rPr>
      <w:fldChar w:fldCharType="begin"/>
    </w:r>
    <w:r w:rsidRPr="002E3AE7">
      <w:rPr>
        <w:rFonts w:ascii="Arial" w:hAnsi="Arial" w:cs="Arial"/>
        <w:sz w:val="18"/>
        <w:szCs w:val="18"/>
      </w:rPr>
      <w:instrText xml:space="preserve"> PAGE   \* MERGEFORMAT </w:instrText>
    </w:r>
    <w:r w:rsidRPr="002E3AE7">
      <w:rPr>
        <w:rFonts w:ascii="Arial" w:hAnsi="Arial" w:cs="Arial"/>
        <w:sz w:val="18"/>
        <w:szCs w:val="18"/>
      </w:rPr>
      <w:fldChar w:fldCharType="separate"/>
    </w:r>
    <w:r w:rsidR="00D944D7">
      <w:rPr>
        <w:rFonts w:ascii="Arial" w:hAnsi="Arial" w:cs="Arial"/>
        <w:noProof/>
        <w:sz w:val="18"/>
        <w:szCs w:val="18"/>
      </w:rPr>
      <w:t>10</w:t>
    </w:r>
    <w:r w:rsidRPr="002E3AE7">
      <w:rPr>
        <w:rFonts w:ascii="Arial" w:hAnsi="Arial" w:cs="Arial"/>
        <w:sz w:val="18"/>
        <w:szCs w:val="18"/>
      </w:rPr>
      <w:fldChar w:fldCharType="end"/>
    </w:r>
    <w:r w:rsidRPr="002E3AE7">
      <w:rPr>
        <w:rFonts w:ascii="Arial" w:hAnsi="Arial" w:cs="Arial"/>
        <w:sz w:val="18"/>
        <w:szCs w:val="18"/>
      </w:rPr>
      <w:t>/10</w:t>
    </w:r>
  </w:p>
  <w:p w14:paraId="1D695E69" w14:textId="77777777" w:rsidR="00B0378C" w:rsidRDefault="00B037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6C3E" w14:textId="77777777" w:rsidR="00F37CC5" w:rsidRDefault="00F37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5E63" w14:textId="77777777" w:rsidR="00B0378C" w:rsidRDefault="00B0378C" w:rsidP="002E600E">
      <w:pPr>
        <w:spacing w:after="0" w:line="240" w:lineRule="auto"/>
      </w:pPr>
      <w:r>
        <w:separator/>
      </w:r>
    </w:p>
  </w:footnote>
  <w:footnote w:type="continuationSeparator" w:id="0">
    <w:p w14:paraId="1D695E64" w14:textId="77777777" w:rsidR="00B0378C" w:rsidRDefault="00B0378C" w:rsidP="002E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C9DC" w14:textId="77777777" w:rsidR="00F37CC5" w:rsidRDefault="00F37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5E67" w14:textId="1D009A41" w:rsidR="00B0378C" w:rsidRDefault="00B0378C">
    <w:pPr>
      <w:pStyle w:val="Header"/>
      <w:rPr>
        <w:rFonts w:ascii="Arial" w:hAnsi="Arial" w:cs="Arial"/>
        <w:b/>
        <w:sz w:val="24"/>
        <w:szCs w:val="24"/>
        <w:lang w:val="fr-BE"/>
      </w:rPr>
    </w:pPr>
    <w:r w:rsidRPr="002E600E">
      <w:rPr>
        <w:rFonts w:ascii="Arial" w:hAnsi="Arial" w:cs="Arial"/>
        <w:b/>
        <w:sz w:val="24"/>
        <w:szCs w:val="24"/>
        <w:lang w:val="fr-BE"/>
      </w:rPr>
      <w:t xml:space="preserve">Check-list D1 – Contrôle des comptes annuels </w:t>
    </w:r>
    <w:r>
      <w:rPr>
        <w:rFonts w:ascii="Arial" w:hAnsi="Arial" w:cs="Arial"/>
        <w:b/>
        <w:sz w:val="24"/>
        <w:szCs w:val="24"/>
        <w:lang w:val="fr-BE"/>
      </w:rPr>
      <w:t xml:space="preserve">à </w:t>
    </w:r>
    <w:r w:rsidRPr="002E600E">
      <w:rPr>
        <w:rFonts w:ascii="Arial" w:hAnsi="Arial" w:cs="Arial"/>
        <w:b/>
        <w:sz w:val="24"/>
        <w:szCs w:val="24"/>
        <w:lang w:val="fr-BE"/>
      </w:rPr>
      <w:t>dépos</w:t>
    </w:r>
    <w:r>
      <w:rPr>
        <w:rFonts w:ascii="Arial" w:hAnsi="Arial" w:cs="Arial"/>
        <w:b/>
        <w:sz w:val="24"/>
        <w:szCs w:val="24"/>
        <w:lang w:val="fr-BE"/>
      </w:rPr>
      <w:t>er</w:t>
    </w:r>
    <w:r w:rsidRPr="002E600E">
      <w:rPr>
        <w:rFonts w:ascii="Arial" w:hAnsi="Arial" w:cs="Arial"/>
        <w:b/>
        <w:sz w:val="24"/>
        <w:szCs w:val="24"/>
        <w:lang w:val="fr-BE"/>
      </w:rPr>
      <w:t xml:space="preserve"> à la BNB</w:t>
    </w:r>
  </w:p>
  <w:p w14:paraId="3B2A6B7B" w14:textId="507319E2" w:rsidR="00F37CC5" w:rsidRPr="00F37CC5" w:rsidRDefault="001C6E72" w:rsidP="00F37CC5">
    <w:pPr>
      <w:rPr>
        <w:rFonts w:ascii="Arial" w:hAnsi="Arial" w:cs="Arial"/>
        <w:b/>
        <w:sz w:val="24"/>
        <w:szCs w:val="24"/>
        <w:lang w:val="fr-FR"/>
      </w:rPr>
    </w:pPr>
    <w:r w:rsidRPr="001C6E72">
      <w:rPr>
        <w:rFonts w:ascii="Arial" w:hAnsi="Arial" w:cs="Arial"/>
        <w:b/>
        <w:bCs/>
        <w:i/>
        <w:iCs/>
        <w:color w:val="FF0000"/>
        <w:lang w:val="fr-BE"/>
      </w:rPr>
      <w:t xml:space="preserve">Attention, un nouvel outil a été développé par le GT ISA en 2021-2022 à ce sujet. Veuillez consulter l’outil correspondant sur  la page suivante: </w:t>
    </w:r>
    <w:hyperlink r:id="rId1" w:history="1">
      <w:r w:rsidR="00F37CC5" w:rsidRPr="003A70AF">
        <w:rPr>
          <w:rStyle w:val="Hyperlink"/>
          <w:rFonts w:ascii="Arial" w:hAnsi="Arial" w:cs="Arial"/>
          <w:b/>
          <w:bCs/>
          <w:i/>
          <w:iCs/>
          <w:color w:val="FF0000"/>
          <w:lang w:val="fr-BE"/>
        </w:rPr>
        <w:t>https://www.icci.be/fr/publications-et-outils/mod-les-de-documents/mod-les-de-documents-detail-page/outils-pour-un-audit-isa-efficient1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CE62" w14:textId="77777777" w:rsidR="00F37CC5" w:rsidRDefault="00F37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301"/>
    <w:multiLevelType w:val="hybridMultilevel"/>
    <w:tmpl w:val="9432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23149"/>
    <w:multiLevelType w:val="hybridMultilevel"/>
    <w:tmpl w:val="D2548890"/>
    <w:lvl w:ilvl="0" w:tplc="F5A8F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61F07"/>
    <w:multiLevelType w:val="hybridMultilevel"/>
    <w:tmpl w:val="0D9ED6FA"/>
    <w:lvl w:ilvl="0" w:tplc="F5A8F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664773">
    <w:abstractNumId w:val="0"/>
  </w:num>
  <w:num w:numId="2" w16cid:durableId="1715811414">
    <w:abstractNumId w:val="1"/>
  </w:num>
  <w:num w:numId="3" w16cid:durableId="416251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B5A"/>
    <w:rsid w:val="00050197"/>
    <w:rsid w:val="00074003"/>
    <w:rsid w:val="00075A2A"/>
    <w:rsid w:val="000B4FB9"/>
    <w:rsid w:val="000C01BE"/>
    <w:rsid w:val="001024E6"/>
    <w:rsid w:val="00127B5A"/>
    <w:rsid w:val="00135CAA"/>
    <w:rsid w:val="00140331"/>
    <w:rsid w:val="00147BFF"/>
    <w:rsid w:val="001707E2"/>
    <w:rsid w:val="001C6E72"/>
    <w:rsid w:val="002047F0"/>
    <w:rsid w:val="00214969"/>
    <w:rsid w:val="00244EDD"/>
    <w:rsid w:val="00275B60"/>
    <w:rsid w:val="002962F0"/>
    <w:rsid w:val="002A338C"/>
    <w:rsid w:val="002A4D12"/>
    <w:rsid w:val="002B1123"/>
    <w:rsid w:val="002D49D7"/>
    <w:rsid w:val="002E3AE7"/>
    <w:rsid w:val="002E600E"/>
    <w:rsid w:val="003319B9"/>
    <w:rsid w:val="003A38FD"/>
    <w:rsid w:val="003A4FC1"/>
    <w:rsid w:val="003C2AD1"/>
    <w:rsid w:val="00474331"/>
    <w:rsid w:val="004B3BEA"/>
    <w:rsid w:val="005904EF"/>
    <w:rsid w:val="005E0ED7"/>
    <w:rsid w:val="006639EC"/>
    <w:rsid w:val="0068137B"/>
    <w:rsid w:val="006E20CF"/>
    <w:rsid w:val="006E64E7"/>
    <w:rsid w:val="00741F20"/>
    <w:rsid w:val="007B2490"/>
    <w:rsid w:val="007E3DF2"/>
    <w:rsid w:val="007F6FD9"/>
    <w:rsid w:val="00800AF0"/>
    <w:rsid w:val="00830EAB"/>
    <w:rsid w:val="008405A6"/>
    <w:rsid w:val="00882AEB"/>
    <w:rsid w:val="00896CED"/>
    <w:rsid w:val="008D4C37"/>
    <w:rsid w:val="008D79F0"/>
    <w:rsid w:val="008E6600"/>
    <w:rsid w:val="00902E3E"/>
    <w:rsid w:val="0094218A"/>
    <w:rsid w:val="00993029"/>
    <w:rsid w:val="00A44A9C"/>
    <w:rsid w:val="00B011C8"/>
    <w:rsid w:val="00B0378C"/>
    <w:rsid w:val="00B919EE"/>
    <w:rsid w:val="00BA186F"/>
    <w:rsid w:val="00BB05E6"/>
    <w:rsid w:val="00C108D6"/>
    <w:rsid w:val="00C26B46"/>
    <w:rsid w:val="00C46D9E"/>
    <w:rsid w:val="00C77F8D"/>
    <w:rsid w:val="00D116F6"/>
    <w:rsid w:val="00D82986"/>
    <w:rsid w:val="00D944D7"/>
    <w:rsid w:val="00E50D62"/>
    <w:rsid w:val="00F15245"/>
    <w:rsid w:val="00F20E2F"/>
    <w:rsid w:val="00F24591"/>
    <w:rsid w:val="00F37CC5"/>
    <w:rsid w:val="00F84D79"/>
    <w:rsid w:val="00F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1D695C18"/>
  <w15:docId w15:val="{9F5DAEDE-795B-4180-B6B5-1BFA6DC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rijevorm">
    <w:name w:val="Vrije vorm"/>
    <w:rsid w:val="00127B5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nl-NL" w:eastAsia="nl-BE"/>
    </w:rPr>
  </w:style>
  <w:style w:type="paragraph" w:styleId="Header">
    <w:name w:val="header"/>
    <w:basedOn w:val="Normal"/>
    <w:link w:val="HeaderChar"/>
    <w:uiPriority w:val="99"/>
    <w:unhideWhenUsed/>
    <w:rsid w:val="002E6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00E"/>
  </w:style>
  <w:style w:type="paragraph" w:styleId="Footer">
    <w:name w:val="footer"/>
    <w:basedOn w:val="Normal"/>
    <w:link w:val="FooterChar"/>
    <w:uiPriority w:val="99"/>
    <w:unhideWhenUsed/>
    <w:rsid w:val="002E6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00E"/>
  </w:style>
  <w:style w:type="paragraph" w:styleId="BalloonText">
    <w:name w:val="Balloon Text"/>
    <w:basedOn w:val="Normal"/>
    <w:link w:val="BalloonTextChar"/>
    <w:uiPriority w:val="99"/>
    <w:semiHidden/>
    <w:unhideWhenUsed/>
    <w:rsid w:val="002E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0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4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59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6D9E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D9E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46D9E"/>
    <w:rPr>
      <w:vertAlign w:val="superscript"/>
    </w:rPr>
  </w:style>
  <w:style w:type="character" w:styleId="Hyperlink">
    <w:name w:val="Hyperlink"/>
    <w:uiPriority w:val="99"/>
    <w:unhideWhenUsed/>
    <w:rsid w:val="00F37C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ci.be/fr/publications-et-outils/mod-les-de-documents/mod-les-de-documents-detail-page/outils-pour-un-audit-isa-efficient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  <afbeelding xmlns="86d8d313-957f-44b4-bb66-f96f0d40e904" xsi:nil="true"/>
    <nb xmlns="86d8d313-957f-44b4-bb66-f96f0d40e90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8" ma:contentTypeDescription="Create a new document." ma:contentTypeScope="" ma:versionID="b3b262afa2a7b433e6b1683e159186ee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eff3c16c0fe5fb1460f5a1306d1a6105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34667-2192-435F-B155-34A3881F4421}">
  <ds:schemaRefs>
    <ds:schemaRef ds:uri="http://schemas.microsoft.com/office/2006/metadata/properties"/>
    <ds:schemaRef ds:uri="ff960655-24fd-4f3f-8e9c-285049d99abf"/>
    <ds:schemaRef ds:uri="86d8d313-957f-44b4-bb66-f96f0d40e90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C24EF-F58D-4EE9-88BC-6486FB6848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DC751-30CD-49B1-B40D-A5C497874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A6E41-26C2-4D0C-9056-6B7D14087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1686</Words>
  <Characters>9612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IBR-IRE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Interimair 2</dc:creator>
  <cp:keywords/>
  <dc:description/>
  <cp:lastModifiedBy>Quintart Stéphanie</cp:lastModifiedBy>
  <cp:revision>42</cp:revision>
  <cp:lastPrinted>2011-06-20T14:05:00Z</cp:lastPrinted>
  <dcterms:created xsi:type="dcterms:W3CDTF">2011-03-17T11:33:00Z</dcterms:created>
  <dcterms:modified xsi:type="dcterms:W3CDTF">2022-07-13T10:45:00Z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0x010100686348715C70104394B9EC5FF59EE5BB</vt:lpwstr>
  </property>
  <property fmtid="{D5CDD505-2E9C-101B-9397-08002B2CF9AE}" pid="3" name="_dlc_DocIdItemGuid">
    <vt:lpwstr>212c453c-845f-4ea2-b62e-1ae2006a343d</vt:lpwstr>
  </property>
  <property fmtid="{D5CDD505-2E9C-101B-9397-08002B2CF9AE}" pid="4" name="URL">
    <vt:lpwstr/>
  </property>
  <property fmtid="{D5CDD505-2E9C-101B-9397-08002B2CF9AE}" pid="5" name="DocumentSetDescription">
    <vt:lpwstr/>
  </property>
  <property fmtid="{D5CDD505-2E9C-101B-9397-08002B2CF9AE}" pid="6" name="MediaServiceImageTags">
    <vt:lpwstr/>
  </property>
</Properties>
</file>