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3119"/>
        <w:gridCol w:w="2268"/>
        <w:gridCol w:w="2551"/>
      </w:tblGrid>
      <w:tr w:rsidR="00F45099" w:rsidRPr="00B33FA4" w14:paraId="1358B8BD" w14:textId="77777777" w:rsidTr="009521DB">
        <w:trPr>
          <w:trHeight w:val="353"/>
        </w:trPr>
        <w:tc>
          <w:tcPr>
            <w:tcW w:w="5812" w:type="dxa"/>
          </w:tcPr>
          <w:p w14:paraId="1358B8B9" w14:textId="77777777" w:rsidR="00F45099" w:rsidRPr="009521DB" w:rsidRDefault="00F45099" w:rsidP="009521DB">
            <w:pPr>
              <w:tabs>
                <w:tab w:val="left" w:pos="7920"/>
              </w:tabs>
              <w:spacing w:before="60" w:after="60" w:line="240" w:lineRule="auto"/>
              <w:rPr>
                <w:rFonts w:ascii="Arial" w:hAnsi="Arial" w:cs="Arial"/>
                <w:sz w:val="20"/>
                <w:szCs w:val="20"/>
                <w:lang w:val="fr-BE" w:eastAsia="nl-BE"/>
              </w:rPr>
            </w:pPr>
            <w:r w:rsidRPr="009521DB">
              <w:rPr>
                <w:rFonts w:ascii="Arial" w:hAnsi="Arial" w:cs="Arial"/>
                <w:sz w:val="20"/>
                <w:szCs w:val="20"/>
                <w:lang w:val="fr-BE" w:eastAsia="nl-BE"/>
              </w:rPr>
              <w:t>Nom du client</w:t>
            </w:r>
          </w:p>
        </w:tc>
        <w:tc>
          <w:tcPr>
            <w:tcW w:w="3119" w:type="dxa"/>
          </w:tcPr>
          <w:p w14:paraId="1358B8BA" w14:textId="77777777" w:rsidR="00F45099" w:rsidRPr="009521DB" w:rsidRDefault="00F45099" w:rsidP="009521DB">
            <w:pPr>
              <w:tabs>
                <w:tab w:val="left" w:pos="7920"/>
              </w:tabs>
              <w:spacing w:before="60" w:after="60" w:line="240" w:lineRule="auto"/>
              <w:rPr>
                <w:rFonts w:ascii="Arial" w:hAnsi="Arial" w:cs="Arial"/>
                <w:b/>
                <w:sz w:val="20"/>
                <w:szCs w:val="20"/>
                <w:lang w:val="fr-BE" w:eastAsia="nl-BE"/>
              </w:rPr>
            </w:pPr>
          </w:p>
        </w:tc>
        <w:tc>
          <w:tcPr>
            <w:tcW w:w="2268" w:type="dxa"/>
          </w:tcPr>
          <w:p w14:paraId="1358B8BB" w14:textId="77777777" w:rsidR="00F45099" w:rsidRPr="009521DB" w:rsidRDefault="00F45099" w:rsidP="009521DB">
            <w:pPr>
              <w:tabs>
                <w:tab w:val="left" w:pos="7920"/>
              </w:tabs>
              <w:spacing w:before="60" w:after="60" w:line="240" w:lineRule="auto"/>
              <w:rPr>
                <w:rFonts w:ascii="Arial" w:hAnsi="Arial" w:cs="Arial"/>
                <w:b/>
                <w:sz w:val="20"/>
                <w:szCs w:val="20"/>
                <w:lang w:val="fr-BE" w:eastAsia="nl-BE"/>
              </w:rPr>
            </w:pPr>
            <w:r>
              <w:rPr>
                <w:rFonts w:ascii="Arial" w:hAnsi="Arial" w:cs="Arial"/>
                <w:sz w:val="20"/>
                <w:szCs w:val="20"/>
                <w:lang w:val="fr-BE" w:eastAsia="nl-BE"/>
              </w:rPr>
              <w:t>E</w:t>
            </w:r>
            <w:r w:rsidRPr="009521DB">
              <w:rPr>
                <w:rFonts w:ascii="Arial" w:hAnsi="Arial" w:cs="Arial"/>
                <w:sz w:val="20"/>
                <w:szCs w:val="20"/>
                <w:lang w:val="fr-BE" w:eastAsia="nl-BE"/>
              </w:rPr>
              <w:t>xercice</w:t>
            </w:r>
          </w:p>
        </w:tc>
        <w:tc>
          <w:tcPr>
            <w:tcW w:w="2551" w:type="dxa"/>
          </w:tcPr>
          <w:p w14:paraId="1358B8BC" w14:textId="77777777" w:rsidR="00F45099" w:rsidRPr="009521DB" w:rsidRDefault="00F45099" w:rsidP="009521DB">
            <w:pPr>
              <w:tabs>
                <w:tab w:val="left" w:pos="7920"/>
              </w:tabs>
              <w:spacing w:before="60" w:after="60" w:line="240" w:lineRule="auto"/>
              <w:rPr>
                <w:rFonts w:ascii="Arial" w:hAnsi="Arial" w:cs="Arial"/>
                <w:b/>
                <w:sz w:val="20"/>
                <w:szCs w:val="20"/>
                <w:lang w:val="fr-BE" w:eastAsia="nl-BE"/>
              </w:rPr>
            </w:pPr>
          </w:p>
        </w:tc>
      </w:tr>
      <w:tr w:rsidR="00F45099" w:rsidRPr="00B33FA4" w14:paraId="1358B8C0" w14:textId="77777777" w:rsidTr="009521DB">
        <w:tc>
          <w:tcPr>
            <w:tcW w:w="5812" w:type="dxa"/>
          </w:tcPr>
          <w:p w14:paraId="1358B8BE" w14:textId="77777777" w:rsidR="00F45099" w:rsidRPr="009521DB" w:rsidRDefault="00F45099" w:rsidP="009521DB">
            <w:pPr>
              <w:tabs>
                <w:tab w:val="left" w:pos="7920"/>
              </w:tabs>
              <w:spacing w:before="60" w:after="60" w:line="240" w:lineRule="auto"/>
              <w:rPr>
                <w:rFonts w:ascii="Arial" w:hAnsi="Arial" w:cs="Arial"/>
                <w:b/>
                <w:bCs/>
                <w:spacing w:val="-5"/>
                <w:sz w:val="20"/>
                <w:szCs w:val="20"/>
                <w:lang w:val="fr-BE" w:eastAsia="nl-BE"/>
              </w:rPr>
            </w:pPr>
            <w:r w:rsidRPr="009521DB">
              <w:rPr>
                <w:rFonts w:ascii="Arial" w:hAnsi="Arial" w:cs="Arial"/>
                <w:sz w:val="20"/>
                <w:szCs w:val="20"/>
                <w:lang w:val="fr-BE" w:eastAsia="nl-BE"/>
              </w:rPr>
              <w:t>Sujet</w:t>
            </w:r>
          </w:p>
        </w:tc>
        <w:tc>
          <w:tcPr>
            <w:tcW w:w="7938" w:type="dxa"/>
            <w:gridSpan w:val="3"/>
            <w:shd w:val="clear" w:color="auto" w:fill="BFBFBF"/>
          </w:tcPr>
          <w:p w14:paraId="1358B8BF" w14:textId="77777777" w:rsidR="00F45099" w:rsidRPr="009521DB" w:rsidRDefault="00F45099" w:rsidP="009521DB">
            <w:pPr>
              <w:tabs>
                <w:tab w:val="left" w:pos="7920"/>
              </w:tabs>
              <w:spacing w:before="60" w:after="60" w:line="240" w:lineRule="auto"/>
              <w:jc w:val="center"/>
              <w:rPr>
                <w:rFonts w:ascii="Arial" w:hAnsi="Arial" w:cs="Arial"/>
                <w:b/>
                <w:bCs/>
                <w:spacing w:val="-5"/>
                <w:sz w:val="20"/>
                <w:szCs w:val="20"/>
                <w:lang w:val="fr-BE" w:eastAsia="nl-BE"/>
              </w:rPr>
            </w:pPr>
            <w:r>
              <w:rPr>
                <w:rFonts w:ascii="Arial" w:hAnsi="Arial" w:cs="Arial"/>
                <w:b/>
                <w:bCs/>
                <w:spacing w:val="-5"/>
                <w:sz w:val="20"/>
                <w:szCs w:val="20"/>
                <w:lang w:val="fr-BE" w:eastAsia="nl-BE"/>
              </w:rPr>
              <w:t>TRANSACTIONS ENTRE PARTIES LIEES</w:t>
            </w:r>
          </w:p>
        </w:tc>
      </w:tr>
    </w:tbl>
    <w:p w14:paraId="1358B8C1" w14:textId="77777777" w:rsidR="00F45099" w:rsidRPr="009521DB" w:rsidRDefault="00F45099" w:rsidP="009521DB">
      <w:pPr>
        <w:spacing w:after="0" w:line="240" w:lineRule="auto"/>
        <w:rPr>
          <w:rFonts w:ascii="Arial" w:hAnsi="Arial" w:cs="Arial"/>
          <w:sz w:val="20"/>
          <w:szCs w:val="20"/>
          <w:lang w:val="fr-BE" w:eastAsia="fr-FR"/>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8"/>
        <w:gridCol w:w="992"/>
      </w:tblGrid>
      <w:tr w:rsidR="00F45099" w:rsidRPr="00B33FA4" w14:paraId="1358B8C4" w14:textId="77777777" w:rsidTr="009521DB">
        <w:tc>
          <w:tcPr>
            <w:tcW w:w="12758" w:type="dxa"/>
          </w:tcPr>
          <w:p w14:paraId="1358B8C2" w14:textId="77777777" w:rsidR="00F45099" w:rsidRPr="009521DB" w:rsidRDefault="00F45099" w:rsidP="009521DB">
            <w:pPr>
              <w:spacing w:before="60" w:after="60" w:line="240" w:lineRule="auto"/>
              <w:jc w:val="center"/>
              <w:rPr>
                <w:rFonts w:ascii="Arial" w:hAnsi="Arial" w:cs="Arial"/>
                <w:b/>
                <w:sz w:val="20"/>
                <w:szCs w:val="20"/>
                <w:lang w:val="fr-BE" w:eastAsia="fr-FR"/>
              </w:rPr>
            </w:pPr>
            <w:r w:rsidRPr="009521DB">
              <w:rPr>
                <w:rFonts w:ascii="Arial" w:hAnsi="Arial" w:cs="Arial"/>
                <w:b/>
                <w:sz w:val="20"/>
                <w:szCs w:val="20"/>
                <w:lang w:val="fr-BE" w:eastAsia="fr-FR"/>
              </w:rPr>
              <w:t>OBJECTIF</w:t>
            </w:r>
          </w:p>
        </w:tc>
        <w:tc>
          <w:tcPr>
            <w:tcW w:w="992" w:type="dxa"/>
          </w:tcPr>
          <w:p w14:paraId="1358B8C3" w14:textId="77777777" w:rsidR="00F45099" w:rsidRPr="009521DB" w:rsidRDefault="00F45099" w:rsidP="009521DB">
            <w:pPr>
              <w:spacing w:before="60" w:after="60" w:line="240" w:lineRule="auto"/>
              <w:jc w:val="center"/>
              <w:rPr>
                <w:rFonts w:ascii="Arial" w:hAnsi="Arial" w:cs="Arial"/>
                <w:b/>
                <w:sz w:val="20"/>
                <w:szCs w:val="20"/>
                <w:lang w:val="fr-BE" w:eastAsia="fr-FR"/>
              </w:rPr>
            </w:pPr>
            <w:r w:rsidRPr="009521DB">
              <w:rPr>
                <w:rFonts w:ascii="Arial" w:hAnsi="Arial" w:cs="Arial"/>
                <w:b/>
                <w:sz w:val="20"/>
                <w:szCs w:val="20"/>
                <w:lang w:val="fr-BE" w:eastAsia="fr-FR"/>
              </w:rPr>
              <w:t>ISA</w:t>
            </w:r>
          </w:p>
        </w:tc>
      </w:tr>
      <w:tr w:rsidR="00F45099" w:rsidRPr="00B33FA4" w14:paraId="1358B8C7" w14:textId="77777777" w:rsidTr="00FD157F">
        <w:trPr>
          <w:trHeight w:val="1226"/>
        </w:trPr>
        <w:tc>
          <w:tcPr>
            <w:tcW w:w="12758" w:type="dxa"/>
          </w:tcPr>
          <w:p w14:paraId="1358B8C5" w14:textId="77777777" w:rsidR="00F45099" w:rsidRPr="009521DB" w:rsidRDefault="00F45099" w:rsidP="00C13255">
            <w:pPr>
              <w:jc w:val="both"/>
              <w:rPr>
                <w:rFonts w:ascii="Arial" w:hAnsi="Arial" w:cs="Arial"/>
                <w:sz w:val="20"/>
                <w:szCs w:val="20"/>
                <w:lang w:val="fr-BE" w:eastAsia="fr-FR"/>
              </w:rPr>
            </w:pPr>
            <w:r w:rsidRPr="00B33FA4">
              <w:rPr>
                <w:rFonts w:ascii="Arial" w:hAnsi="Arial" w:cs="Arial"/>
                <w:sz w:val="20"/>
                <w:szCs w:val="20"/>
                <w:lang w:val="fr-BE"/>
              </w:rPr>
              <w:t>La présente check-list a pour objectif de documenter les procédures d’audit concernant les transactions entre parties liées. L’organe de gestion a la responsabilité d’identifier les parties liées et de fournir les informations requises, notamment les transactions entre parties liées. Pour ce faire, l’entité doit mettre en place des procédures de contrôle interne suffisantes. Ces procédures seront plus ou moins formelles selon la taille de l’entité. L’auditeur sera particulièrement vigil</w:t>
            </w:r>
            <w:r>
              <w:rPr>
                <w:rFonts w:ascii="Arial" w:hAnsi="Arial" w:cs="Arial"/>
                <w:sz w:val="20"/>
                <w:szCs w:val="20"/>
                <w:lang w:val="fr-BE"/>
              </w:rPr>
              <w:t>a</w:t>
            </w:r>
            <w:r w:rsidRPr="00B33FA4">
              <w:rPr>
                <w:rFonts w:ascii="Arial" w:hAnsi="Arial" w:cs="Arial"/>
                <w:sz w:val="20"/>
                <w:szCs w:val="20"/>
                <w:lang w:val="fr-BE"/>
              </w:rPr>
              <w:t>nt au respect des dispositions légales et r</w:t>
            </w:r>
            <w:r>
              <w:rPr>
                <w:rFonts w:ascii="Arial" w:hAnsi="Arial" w:cs="Arial"/>
                <w:sz w:val="20"/>
                <w:szCs w:val="20"/>
                <w:lang w:val="fr-BE"/>
              </w:rPr>
              <w:t>é</w:t>
            </w:r>
            <w:r w:rsidRPr="00B33FA4">
              <w:rPr>
                <w:rFonts w:ascii="Arial" w:hAnsi="Arial" w:cs="Arial"/>
                <w:sz w:val="20"/>
                <w:szCs w:val="20"/>
                <w:lang w:val="fr-BE"/>
              </w:rPr>
              <w:t>glementaires applicables en la matière.</w:t>
            </w:r>
          </w:p>
        </w:tc>
        <w:tc>
          <w:tcPr>
            <w:tcW w:w="992" w:type="dxa"/>
          </w:tcPr>
          <w:p w14:paraId="1358B8C6" w14:textId="77777777" w:rsidR="00F45099" w:rsidRPr="009521DB" w:rsidRDefault="00F45099" w:rsidP="00C13255">
            <w:pPr>
              <w:spacing w:before="60" w:after="60" w:line="240" w:lineRule="auto"/>
              <w:jc w:val="center"/>
              <w:rPr>
                <w:rFonts w:ascii="Arial" w:hAnsi="Arial" w:cs="Arial"/>
                <w:sz w:val="20"/>
                <w:szCs w:val="20"/>
                <w:lang w:val="fr-BE" w:eastAsia="fr-FR"/>
              </w:rPr>
            </w:pPr>
            <w:r>
              <w:rPr>
                <w:rFonts w:ascii="Arial" w:hAnsi="Arial" w:cs="Arial"/>
                <w:sz w:val="20"/>
                <w:szCs w:val="20"/>
                <w:lang w:val="fr-BE" w:eastAsia="fr-FR"/>
              </w:rPr>
              <w:t>550</w:t>
            </w:r>
          </w:p>
        </w:tc>
      </w:tr>
    </w:tbl>
    <w:p w14:paraId="1358B8C8" w14:textId="77777777" w:rsidR="00F45099" w:rsidRPr="009B2DF0" w:rsidRDefault="00F45099" w:rsidP="00A0298C">
      <w:pPr>
        <w:spacing w:after="0"/>
        <w:rPr>
          <w:rFonts w:ascii="Arial" w:hAnsi="Arial" w:cs="Arial"/>
          <w:sz w:val="20"/>
          <w:szCs w:val="20"/>
          <w:lang w:val="fr-BE"/>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7"/>
        <w:gridCol w:w="851"/>
        <w:gridCol w:w="6662"/>
      </w:tblGrid>
      <w:tr w:rsidR="00F45099" w:rsidRPr="00B33FA4" w14:paraId="1358B8CC" w14:textId="77777777" w:rsidTr="00FD157F">
        <w:trPr>
          <w:trHeight w:val="555"/>
          <w:tblHeader/>
        </w:trPr>
        <w:tc>
          <w:tcPr>
            <w:tcW w:w="6237" w:type="dxa"/>
            <w:shd w:val="clear" w:color="auto" w:fill="BFBFBF"/>
            <w:vAlign w:val="center"/>
          </w:tcPr>
          <w:p w14:paraId="1358B8C9" w14:textId="77777777" w:rsidR="00F45099" w:rsidRPr="00DC205F" w:rsidRDefault="00F45099" w:rsidP="00DC205F">
            <w:pPr>
              <w:spacing w:before="60" w:after="60" w:line="240" w:lineRule="auto"/>
              <w:jc w:val="center"/>
              <w:rPr>
                <w:rFonts w:ascii="Arial" w:hAnsi="Arial" w:cs="Arial"/>
                <w:b/>
                <w:bCs/>
                <w:sz w:val="20"/>
                <w:szCs w:val="20"/>
                <w:lang w:val="fr-BE"/>
              </w:rPr>
            </w:pPr>
          </w:p>
        </w:tc>
        <w:tc>
          <w:tcPr>
            <w:tcW w:w="851" w:type="dxa"/>
            <w:shd w:val="clear" w:color="auto" w:fill="BFBFBF"/>
            <w:vAlign w:val="center"/>
          </w:tcPr>
          <w:p w14:paraId="1358B8CA" w14:textId="77777777" w:rsidR="00F45099" w:rsidRPr="00DC205F" w:rsidRDefault="00F45099" w:rsidP="00DC205F">
            <w:pPr>
              <w:spacing w:before="60" w:after="60" w:line="240" w:lineRule="auto"/>
              <w:jc w:val="center"/>
              <w:rPr>
                <w:rFonts w:ascii="Arial" w:hAnsi="Arial" w:cs="Arial"/>
                <w:b/>
                <w:bCs/>
                <w:sz w:val="20"/>
                <w:szCs w:val="20"/>
                <w:lang w:val="fr-BE"/>
              </w:rPr>
            </w:pPr>
            <w:r w:rsidRPr="00B33FA4">
              <w:rPr>
                <w:rFonts w:ascii="Arial" w:hAnsi="Arial" w:cs="Arial"/>
                <w:b/>
                <w:sz w:val="20"/>
                <w:szCs w:val="20"/>
                <w:lang w:val="fr-BE"/>
              </w:rPr>
              <w:t>Ass.</w:t>
            </w:r>
            <w:r w:rsidRPr="00B33FA4">
              <w:rPr>
                <w:rStyle w:val="FootnoteReference"/>
                <w:rFonts w:ascii="Arial" w:hAnsi="Arial" w:cs="Arial"/>
                <w:b/>
                <w:sz w:val="20"/>
                <w:szCs w:val="20"/>
                <w:lang w:val="fr-BE"/>
              </w:rPr>
              <w:footnoteReference w:customMarkFollows="1" w:id="1"/>
              <w:sym w:font="Symbol" w:char="F02A"/>
            </w:r>
          </w:p>
        </w:tc>
        <w:tc>
          <w:tcPr>
            <w:tcW w:w="6662" w:type="dxa"/>
            <w:shd w:val="clear" w:color="auto" w:fill="BFBFBF"/>
            <w:vAlign w:val="center"/>
          </w:tcPr>
          <w:p w14:paraId="1358B8CB" w14:textId="77777777" w:rsidR="00F45099" w:rsidRPr="00DC205F" w:rsidRDefault="00F45099" w:rsidP="00DC205F">
            <w:pPr>
              <w:spacing w:before="60" w:after="60" w:line="240" w:lineRule="auto"/>
              <w:jc w:val="center"/>
              <w:rPr>
                <w:rFonts w:ascii="Arial" w:hAnsi="Arial" w:cs="Arial"/>
                <w:b/>
                <w:bCs/>
                <w:sz w:val="20"/>
                <w:szCs w:val="20"/>
                <w:lang w:val="fr-BE"/>
              </w:rPr>
            </w:pPr>
            <w:r w:rsidRPr="00DC205F">
              <w:rPr>
                <w:rFonts w:ascii="Arial" w:hAnsi="Arial" w:cs="Arial"/>
                <w:b/>
                <w:bCs/>
                <w:sz w:val="20"/>
                <w:szCs w:val="20"/>
                <w:lang w:val="fr-BE"/>
              </w:rPr>
              <w:t>Commentaires</w:t>
            </w:r>
          </w:p>
        </w:tc>
      </w:tr>
      <w:tr w:rsidR="00F45099" w:rsidRPr="00B33FA4" w14:paraId="1358B8CE" w14:textId="77777777" w:rsidTr="00FD157F">
        <w:trPr>
          <w:trHeight w:val="267"/>
        </w:trPr>
        <w:tc>
          <w:tcPr>
            <w:tcW w:w="13750" w:type="dxa"/>
            <w:gridSpan w:val="3"/>
            <w:shd w:val="clear" w:color="auto" w:fill="D9D9D9"/>
          </w:tcPr>
          <w:p w14:paraId="1358B8CD" w14:textId="77777777" w:rsidR="00F45099" w:rsidRPr="00DC205F" w:rsidRDefault="00F45099" w:rsidP="00DC205F">
            <w:pPr>
              <w:spacing w:before="60" w:after="60" w:line="240" w:lineRule="auto"/>
              <w:rPr>
                <w:rFonts w:ascii="Arial" w:hAnsi="Arial" w:cs="Arial"/>
                <w:sz w:val="20"/>
                <w:szCs w:val="20"/>
                <w:lang w:val="fr-BE"/>
              </w:rPr>
            </w:pPr>
            <w:r w:rsidRPr="00DC205F">
              <w:rPr>
                <w:rFonts w:ascii="Arial" w:hAnsi="Arial" w:cs="Arial"/>
                <w:b/>
                <w:bCs/>
                <w:sz w:val="20"/>
                <w:szCs w:val="20"/>
                <w:lang w:val="fr-BE"/>
              </w:rPr>
              <w:t>PROCEDURES DE BASE</w:t>
            </w:r>
          </w:p>
        </w:tc>
      </w:tr>
      <w:tr w:rsidR="00F45099" w:rsidRPr="00B33FA4" w14:paraId="1358B8D2" w14:textId="77777777" w:rsidTr="00FD157F">
        <w:trPr>
          <w:trHeight w:val="188"/>
        </w:trPr>
        <w:tc>
          <w:tcPr>
            <w:tcW w:w="6237" w:type="dxa"/>
            <w:shd w:val="clear" w:color="auto" w:fill="D9D9D9"/>
          </w:tcPr>
          <w:p w14:paraId="1358B8CF" w14:textId="77777777" w:rsidR="00F45099" w:rsidRPr="00DC205F" w:rsidRDefault="00C13799" w:rsidP="00D62DA0">
            <w:pPr>
              <w:pStyle w:val="ListParagraph"/>
              <w:numPr>
                <w:ilvl w:val="0"/>
                <w:numId w:val="31"/>
              </w:numPr>
              <w:tabs>
                <w:tab w:val="clear" w:pos="720"/>
                <w:tab w:val="num" w:pos="474"/>
                <w:tab w:val="left" w:pos="6507"/>
              </w:tabs>
              <w:spacing w:before="60" w:after="60" w:line="240" w:lineRule="auto"/>
              <w:ind w:hanging="720"/>
              <w:contextualSpacing w:val="0"/>
              <w:rPr>
                <w:rFonts w:ascii="Arial" w:hAnsi="Arial" w:cs="Arial"/>
                <w:b/>
                <w:bCs/>
                <w:sz w:val="20"/>
                <w:szCs w:val="20"/>
                <w:lang w:val="fr-BE"/>
              </w:rPr>
            </w:pPr>
            <w:r>
              <w:rPr>
                <w:rFonts w:ascii="Arial" w:hAnsi="Arial" w:cs="Arial"/>
                <w:b/>
                <w:bCs/>
                <w:sz w:val="20"/>
                <w:szCs w:val="20"/>
                <w:lang w:val="fr-BE"/>
              </w:rPr>
              <w:t>Poli</w:t>
            </w:r>
            <w:r w:rsidRPr="00DC205F">
              <w:rPr>
                <w:rFonts w:ascii="Arial" w:hAnsi="Arial" w:cs="Arial"/>
                <w:b/>
                <w:bCs/>
                <w:sz w:val="20"/>
                <w:szCs w:val="20"/>
                <w:lang w:val="fr-BE"/>
              </w:rPr>
              <w:t>tiques</w:t>
            </w:r>
            <w:r w:rsidR="00F45099" w:rsidRPr="00DC205F">
              <w:rPr>
                <w:rFonts w:ascii="Arial" w:hAnsi="Arial" w:cs="Arial"/>
                <w:b/>
                <w:bCs/>
                <w:sz w:val="20"/>
                <w:szCs w:val="20"/>
                <w:lang w:val="fr-BE"/>
              </w:rPr>
              <w:t xml:space="preserve"> et procédures </w:t>
            </w:r>
          </w:p>
        </w:tc>
        <w:tc>
          <w:tcPr>
            <w:tcW w:w="851" w:type="dxa"/>
          </w:tcPr>
          <w:p w14:paraId="1358B8D0"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CEA</w:t>
            </w:r>
          </w:p>
        </w:tc>
        <w:tc>
          <w:tcPr>
            <w:tcW w:w="6662" w:type="dxa"/>
          </w:tcPr>
          <w:p w14:paraId="1358B8D1"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8D6" w14:textId="77777777" w:rsidTr="00FD157F">
        <w:trPr>
          <w:trHeight w:val="758"/>
        </w:trPr>
        <w:tc>
          <w:tcPr>
            <w:tcW w:w="6237" w:type="dxa"/>
          </w:tcPr>
          <w:p w14:paraId="1358B8D3" w14:textId="77777777" w:rsidR="00F45099" w:rsidRPr="00DC205F" w:rsidRDefault="00F45099" w:rsidP="0042537F">
            <w:pPr>
              <w:spacing w:before="60" w:after="60" w:line="240" w:lineRule="auto"/>
              <w:jc w:val="both"/>
              <w:rPr>
                <w:rFonts w:ascii="Arial" w:hAnsi="Arial" w:cs="Arial"/>
                <w:b/>
                <w:bCs/>
                <w:sz w:val="20"/>
                <w:szCs w:val="20"/>
                <w:lang w:val="fr-BE"/>
              </w:rPr>
            </w:pPr>
            <w:r w:rsidRPr="00DC205F">
              <w:rPr>
                <w:rFonts w:ascii="Arial" w:hAnsi="Arial" w:cs="Arial"/>
                <w:sz w:val="20"/>
                <w:szCs w:val="20"/>
                <w:lang w:val="fr-BE"/>
              </w:rPr>
              <w:t>Evaluer la conception et la mise en œuvre des politiques et procédures de l’entité pour l’identification et l’enregistrement des transactions entre parties liées</w:t>
            </w:r>
            <w:r w:rsidRPr="00DC205F">
              <w:rPr>
                <w:rFonts w:ascii="Arial" w:hAnsi="Arial" w:cs="Arial"/>
                <w:b/>
                <w:bCs/>
                <w:sz w:val="20"/>
                <w:szCs w:val="20"/>
                <w:lang w:val="fr-BE"/>
              </w:rPr>
              <w:t>.</w:t>
            </w:r>
          </w:p>
        </w:tc>
        <w:tc>
          <w:tcPr>
            <w:tcW w:w="851" w:type="dxa"/>
          </w:tcPr>
          <w:p w14:paraId="1358B8D4"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tcPr>
          <w:p w14:paraId="1358B8D5"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B33FA4" w14:paraId="1358B8DA" w14:textId="77777777" w:rsidTr="00FD157F">
        <w:trPr>
          <w:trHeight w:val="134"/>
        </w:trPr>
        <w:tc>
          <w:tcPr>
            <w:tcW w:w="6237" w:type="dxa"/>
            <w:shd w:val="clear" w:color="auto" w:fill="D9D9D9"/>
          </w:tcPr>
          <w:p w14:paraId="1358B8D7" w14:textId="77777777" w:rsidR="00F45099" w:rsidRPr="00DC205F" w:rsidRDefault="00F45099" w:rsidP="00C13799">
            <w:pPr>
              <w:pStyle w:val="ListParagraph"/>
              <w:numPr>
                <w:ilvl w:val="0"/>
                <w:numId w:val="31"/>
              </w:numPr>
              <w:tabs>
                <w:tab w:val="clear" w:pos="720"/>
              </w:tabs>
              <w:spacing w:before="60" w:after="60" w:line="240" w:lineRule="auto"/>
              <w:ind w:left="447"/>
              <w:contextualSpacing w:val="0"/>
              <w:rPr>
                <w:rFonts w:ascii="Arial" w:hAnsi="Arial" w:cs="Arial"/>
                <w:b/>
                <w:sz w:val="20"/>
                <w:szCs w:val="20"/>
                <w:lang w:val="fr-BE"/>
              </w:rPr>
            </w:pPr>
            <w:r w:rsidRPr="00DC205F">
              <w:rPr>
                <w:rFonts w:ascii="Arial" w:hAnsi="Arial" w:cs="Arial"/>
                <w:b/>
                <w:sz w:val="20"/>
                <w:szCs w:val="20"/>
                <w:lang w:val="fr-BE"/>
              </w:rPr>
              <w:t>Demandes auprès de la direction</w:t>
            </w:r>
          </w:p>
        </w:tc>
        <w:tc>
          <w:tcPr>
            <w:tcW w:w="851" w:type="dxa"/>
          </w:tcPr>
          <w:p w14:paraId="1358B8D8"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CA</w:t>
            </w:r>
          </w:p>
        </w:tc>
        <w:tc>
          <w:tcPr>
            <w:tcW w:w="6662" w:type="dxa"/>
          </w:tcPr>
          <w:p w14:paraId="1358B8D9"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B33FA4" w14:paraId="1358B8E7" w14:textId="77777777" w:rsidTr="00FD157F">
        <w:trPr>
          <w:trHeight w:val="98"/>
        </w:trPr>
        <w:tc>
          <w:tcPr>
            <w:tcW w:w="6237" w:type="dxa"/>
          </w:tcPr>
          <w:p w14:paraId="1358B8DB" w14:textId="77777777" w:rsidR="00F45099" w:rsidRPr="00DC205F" w:rsidRDefault="001323FF" w:rsidP="0048769D">
            <w:pPr>
              <w:spacing w:before="60" w:after="60" w:line="240" w:lineRule="auto"/>
              <w:ind w:left="49" w:hanging="1"/>
              <w:jc w:val="both"/>
              <w:rPr>
                <w:rFonts w:ascii="Arial" w:hAnsi="Arial" w:cs="Arial"/>
                <w:sz w:val="20"/>
                <w:szCs w:val="20"/>
                <w:lang w:val="fr-BE"/>
              </w:rPr>
            </w:pPr>
            <w:r w:rsidRPr="001323FF">
              <w:rPr>
                <w:lang w:val="fr-BE"/>
              </w:rPr>
              <w:br w:type="page"/>
            </w:r>
            <w:r w:rsidR="00F45099" w:rsidRPr="00DC205F">
              <w:rPr>
                <w:rFonts w:ascii="Arial" w:hAnsi="Arial" w:cs="Arial"/>
                <w:sz w:val="20"/>
                <w:szCs w:val="20"/>
                <w:lang w:val="fr-BE"/>
              </w:rPr>
              <w:t>Demander les informations suivantes auprès de la direction :</w:t>
            </w:r>
          </w:p>
          <w:p w14:paraId="1358B8DC" w14:textId="77777777" w:rsidR="00F45099" w:rsidRPr="00DC205F" w:rsidRDefault="00F45099" w:rsidP="00FD157F">
            <w:pPr>
              <w:pStyle w:val="ListParagraph"/>
              <w:numPr>
                <w:ilvl w:val="0"/>
                <w:numId w:val="20"/>
              </w:numPr>
              <w:spacing w:after="0" w:line="240" w:lineRule="auto"/>
              <w:ind w:left="408" w:hanging="357"/>
              <w:contextualSpacing w:val="0"/>
              <w:jc w:val="both"/>
              <w:rPr>
                <w:rFonts w:ascii="Arial" w:hAnsi="Arial" w:cs="Arial"/>
                <w:sz w:val="20"/>
                <w:szCs w:val="20"/>
                <w:lang w:val="fr-BE"/>
              </w:rPr>
            </w:pPr>
            <w:r w:rsidRPr="00DC205F">
              <w:rPr>
                <w:rFonts w:ascii="Arial" w:hAnsi="Arial" w:cs="Arial"/>
                <w:sz w:val="20"/>
                <w:szCs w:val="20"/>
                <w:lang w:val="fr-BE"/>
              </w:rPr>
              <w:t>l’existence de parties liées et de transactions (différentes de celles déjà identifiées)</w:t>
            </w:r>
            <w:r w:rsidR="00D62DA0">
              <w:rPr>
                <w:rFonts w:ascii="Arial" w:hAnsi="Arial" w:cs="Arial"/>
                <w:sz w:val="20"/>
                <w:szCs w:val="20"/>
                <w:lang w:val="fr-BE"/>
              </w:rPr>
              <w:t xml:space="preserve"> </w:t>
            </w:r>
            <w:r w:rsidRPr="00DC205F">
              <w:rPr>
                <w:rFonts w:ascii="Arial" w:hAnsi="Arial" w:cs="Arial"/>
                <w:sz w:val="20"/>
                <w:szCs w:val="20"/>
                <w:lang w:val="fr-BE"/>
              </w:rPr>
              <w:t>;</w:t>
            </w:r>
          </w:p>
          <w:p w14:paraId="1358B8DD" w14:textId="77777777" w:rsidR="00F45099" w:rsidRPr="00DC205F" w:rsidRDefault="00F45099" w:rsidP="00FD157F">
            <w:pPr>
              <w:pStyle w:val="ListParagraph"/>
              <w:numPr>
                <w:ilvl w:val="0"/>
                <w:numId w:val="20"/>
              </w:numPr>
              <w:spacing w:after="0" w:line="240" w:lineRule="auto"/>
              <w:ind w:left="408" w:hanging="357"/>
              <w:contextualSpacing w:val="0"/>
              <w:jc w:val="both"/>
              <w:rPr>
                <w:rFonts w:ascii="Arial" w:hAnsi="Arial" w:cs="Arial"/>
                <w:sz w:val="20"/>
                <w:szCs w:val="20"/>
                <w:lang w:val="fr-BE"/>
              </w:rPr>
            </w:pPr>
            <w:r w:rsidRPr="00DC205F">
              <w:rPr>
                <w:rFonts w:ascii="Arial" w:hAnsi="Arial" w:cs="Arial"/>
                <w:sz w:val="20"/>
                <w:szCs w:val="20"/>
                <w:lang w:val="fr-BE"/>
              </w:rPr>
              <w:t>les liens des administrateurs</w:t>
            </w:r>
            <w:r>
              <w:rPr>
                <w:rFonts w:ascii="Arial" w:hAnsi="Arial" w:cs="Arial"/>
                <w:sz w:val="20"/>
                <w:szCs w:val="20"/>
                <w:lang w:val="fr-BE"/>
              </w:rPr>
              <w:t xml:space="preserve"> avec des </w:t>
            </w:r>
            <w:r w:rsidRPr="00DC205F">
              <w:rPr>
                <w:rFonts w:ascii="Arial" w:hAnsi="Arial" w:cs="Arial"/>
                <w:sz w:val="20"/>
                <w:szCs w:val="20"/>
                <w:lang w:val="fr-BE"/>
              </w:rPr>
              <w:t>entités qui pourraient êt</w:t>
            </w:r>
            <w:r>
              <w:rPr>
                <w:rFonts w:ascii="Arial" w:hAnsi="Arial" w:cs="Arial"/>
                <w:sz w:val="20"/>
                <w:szCs w:val="20"/>
                <w:lang w:val="fr-BE"/>
              </w:rPr>
              <w:t>re qualifiées de parties liées ;</w:t>
            </w:r>
          </w:p>
          <w:p w14:paraId="1358B8DE" w14:textId="77777777" w:rsidR="006F6528" w:rsidRPr="006F6528" w:rsidRDefault="00F45099" w:rsidP="00FD157F">
            <w:pPr>
              <w:pStyle w:val="ListParagraph"/>
              <w:numPr>
                <w:ilvl w:val="0"/>
                <w:numId w:val="20"/>
              </w:numPr>
              <w:spacing w:after="0" w:line="240" w:lineRule="auto"/>
              <w:contextualSpacing w:val="0"/>
              <w:jc w:val="both"/>
              <w:rPr>
                <w:rFonts w:ascii="Arial" w:hAnsi="Arial" w:cs="Arial"/>
                <w:sz w:val="20"/>
                <w:szCs w:val="20"/>
                <w:lang w:val="fr-BE"/>
              </w:rPr>
            </w:pPr>
            <w:r w:rsidRPr="00F67AAC">
              <w:rPr>
                <w:rFonts w:ascii="Arial" w:hAnsi="Arial" w:cs="Arial"/>
                <w:sz w:val="20"/>
                <w:szCs w:val="20"/>
                <w:lang w:val="fr-BE"/>
              </w:rPr>
              <w:t>les noms de toutes les parties liées</w:t>
            </w:r>
            <w:r>
              <w:rPr>
                <w:rFonts w:ascii="Arial" w:hAnsi="Arial" w:cs="Arial"/>
                <w:sz w:val="20"/>
                <w:szCs w:val="20"/>
                <w:lang w:val="fr-BE"/>
              </w:rPr>
              <w:t xml:space="preserve"> </w:t>
            </w:r>
            <w:r w:rsidRPr="00F67AAC">
              <w:rPr>
                <w:rFonts w:ascii="Arial" w:hAnsi="Arial" w:cs="Arial"/>
                <w:sz w:val="20"/>
                <w:szCs w:val="20"/>
                <w:lang w:val="fr-BE"/>
              </w:rPr>
              <w:t xml:space="preserve">: </w:t>
            </w:r>
            <w:r>
              <w:rPr>
                <w:rFonts w:ascii="Arial" w:hAnsi="Arial" w:cs="Arial"/>
                <w:sz w:val="20"/>
                <w:szCs w:val="20"/>
                <w:lang w:val="fr-BE"/>
              </w:rPr>
              <w:t>discuter du</w:t>
            </w:r>
            <w:r w:rsidRPr="00F67AAC">
              <w:rPr>
                <w:rFonts w:ascii="Arial" w:hAnsi="Arial" w:cs="Arial"/>
                <w:sz w:val="20"/>
                <w:szCs w:val="20"/>
                <w:lang w:val="fr-BE"/>
              </w:rPr>
              <w:t xml:space="preserve"> tableau des transactions entre parties liées avec les </w:t>
            </w:r>
            <w:r>
              <w:rPr>
                <w:rFonts w:ascii="Arial" w:hAnsi="Arial" w:cs="Arial"/>
                <w:sz w:val="20"/>
                <w:szCs w:val="20"/>
                <w:lang w:val="fr-BE"/>
              </w:rPr>
              <w:t xml:space="preserve">administrateurs </w:t>
            </w:r>
            <w:r w:rsidRPr="00F67AAC">
              <w:rPr>
                <w:rFonts w:ascii="Arial" w:hAnsi="Arial" w:cs="Arial"/>
                <w:sz w:val="20"/>
                <w:szCs w:val="20"/>
                <w:lang w:val="fr-BE"/>
              </w:rPr>
              <w:t xml:space="preserve">et les personnes liées avec </w:t>
            </w:r>
            <w:r>
              <w:rPr>
                <w:rFonts w:ascii="Arial" w:hAnsi="Arial" w:cs="Arial"/>
                <w:sz w:val="20"/>
                <w:szCs w:val="20"/>
                <w:lang w:val="fr-BE"/>
              </w:rPr>
              <w:t xml:space="preserve">ceux-ci </w:t>
            </w:r>
            <w:r w:rsidRPr="00F67AAC">
              <w:rPr>
                <w:rFonts w:ascii="Arial" w:hAnsi="Arial" w:cs="Arial"/>
                <w:sz w:val="20"/>
                <w:szCs w:val="20"/>
                <w:lang w:val="fr-BE"/>
              </w:rPr>
              <w:t xml:space="preserve">et </w:t>
            </w:r>
            <w:r>
              <w:rPr>
                <w:rFonts w:ascii="Arial" w:hAnsi="Arial" w:cs="Arial"/>
                <w:sz w:val="20"/>
                <w:szCs w:val="20"/>
                <w:lang w:val="fr-BE"/>
              </w:rPr>
              <w:t xml:space="preserve">obtenir </w:t>
            </w:r>
            <w:r w:rsidRPr="00F67AAC">
              <w:rPr>
                <w:rFonts w:ascii="Arial" w:hAnsi="Arial" w:cs="Arial"/>
                <w:sz w:val="20"/>
                <w:szCs w:val="20"/>
                <w:lang w:val="fr-BE"/>
              </w:rPr>
              <w:t>la confirmation qu'il n’existe pas d</w:t>
            </w:r>
            <w:r>
              <w:rPr>
                <w:rFonts w:ascii="Arial" w:hAnsi="Arial" w:cs="Arial"/>
                <w:sz w:val="20"/>
                <w:szCs w:val="20"/>
                <w:lang w:val="fr-BE"/>
              </w:rPr>
              <w:t>’autres transactions à inclure.</w:t>
            </w:r>
          </w:p>
        </w:tc>
        <w:tc>
          <w:tcPr>
            <w:tcW w:w="851" w:type="dxa"/>
          </w:tcPr>
          <w:p w14:paraId="1358B8DF" w14:textId="77777777" w:rsidR="00F45099" w:rsidRPr="00DC205F" w:rsidRDefault="00F45099" w:rsidP="00DC205F">
            <w:pPr>
              <w:spacing w:before="60" w:after="60" w:line="240" w:lineRule="auto"/>
              <w:jc w:val="center"/>
              <w:rPr>
                <w:rFonts w:ascii="Arial" w:hAnsi="Arial" w:cs="Arial"/>
                <w:sz w:val="20"/>
                <w:szCs w:val="20"/>
                <w:lang w:val="fr-BE"/>
              </w:rPr>
            </w:pPr>
          </w:p>
          <w:p w14:paraId="1358B8E0" w14:textId="77777777" w:rsidR="00F45099" w:rsidRPr="00DC205F" w:rsidRDefault="00D12B58" w:rsidP="00DC205F">
            <w:pPr>
              <w:spacing w:before="60" w:after="60" w:line="240" w:lineRule="auto"/>
              <w:jc w:val="center"/>
              <w:rPr>
                <w:rFonts w:ascii="Arial" w:hAnsi="Arial" w:cs="Arial"/>
                <w:sz w:val="20"/>
                <w:szCs w:val="20"/>
                <w:lang w:val="fr-BE"/>
              </w:rPr>
            </w:pPr>
            <w:r>
              <w:rPr>
                <w:rFonts w:ascii="Arial" w:hAnsi="Arial" w:cs="Arial"/>
                <w:sz w:val="20"/>
                <w:szCs w:val="20"/>
                <w:lang w:val="fr-BE"/>
              </w:rPr>
              <w:t>E</w:t>
            </w:r>
          </w:p>
          <w:p w14:paraId="1358B8E1" w14:textId="77777777" w:rsidR="00F45099" w:rsidRPr="00DC205F" w:rsidRDefault="00F45099" w:rsidP="00DC205F">
            <w:pPr>
              <w:spacing w:before="60" w:after="60" w:line="240" w:lineRule="auto"/>
              <w:jc w:val="center"/>
              <w:rPr>
                <w:rFonts w:ascii="Arial" w:hAnsi="Arial" w:cs="Arial"/>
                <w:sz w:val="20"/>
                <w:szCs w:val="20"/>
                <w:lang w:val="fr-BE"/>
              </w:rPr>
            </w:pPr>
          </w:p>
          <w:p w14:paraId="1358B8E2" w14:textId="77777777" w:rsidR="00F45099" w:rsidRPr="00DC205F" w:rsidRDefault="001323FF" w:rsidP="00DC205F">
            <w:pPr>
              <w:spacing w:before="60" w:after="60" w:line="240" w:lineRule="auto"/>
              <w:jc w:val="center"/>
              <w:rPr>
                <w:rFonts w:ascii="Arial" w:hAnsi="Arial" w:cs="Arial"/>
                <w:sz w:val="20"/>
                <w:szCs w:val="20"/>
                <w:lang w:val="fr-BE"/>
              </w:rPr>
            </w:pPr>
            <w:r>
              <w:rPr>
                <w:rFonts w:ascii="Arial" w:hAnsi="Arial" w:cs="Arial"/>
                <w:sz w:val="20"/>
                <w:szCs w:val="20"/>
                <w:lang w:val="fr-BE"/>
              </w:rPr>
              <w:t>E</w:t>
            </w:r>
          </w:p>
          <w:p w14:paraId="1358B8E3" w14:textId="77777777" w:rsidR="00F45099" w:rsidRPr="00DC205F" w:rsidRDefault="00F45099" w:rsidP="00DC205F">
            <w:pPr>
              <w:spacing w:before="60" w:after="60" w:line="240" w:lineRule="auto"/>
              <w:jc w:val="center"/>
              <w:rPr>
                <w:rFonts w:ascii="Arial" w:hAnsi="Arial" w:cs="Arial"/>
                <w:sz w:val="20"/>
                <w:szCs w:val="20"/>
                <w:lang w:val="fr-BE"/>
              </w:rPr>
            </w:pPr>
          </w:p>
          <w:p w14:paraId="1358B8E4" w14:textId="77777777" w:rsidR="00F45099" w:rsidRPr="00DC205F" w:rsidRDefault="00F45099" w:rsidP="00DC205F">
            <w:pPr>
              <w:spacing w:before="60" w:after="60" w:line="240" w:lineRule="auto"/>
              <w:jc w:val="center"/>
              <w:rPr>
                <w:rFonts w:ascii="Arial" w:hAnsi="Arial" w:cs="Arial"/>
                <w:sz w:val="20"/>
                <w:szCs w:val="20"/>
                <w:lang w:val="fr-BE"/>
              </w:rPr>
            </w:pPr>
          </w:p>
          <w:p w14:paraId="1358B8E5"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E</w:t>
            </w:r>
          </w:p>
        </w:tc>
        <w:tc>
          <w:tcPr>
            <w:tcW w:w="6662" w:type="dxa"/>
            <w:vAlign w:val="center"/>
          </w:tcPr>
          <w:p w14:paraId="1358B8E6"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42537F" w14:paraId="1358B8EB" w14:textId="77777777" w:rsidTr="00FD157F">
        <w:trPr>
          <w:trHeight w:val="230"/>
        </w:trPr>
        <w:tc>
          <w:tcPr>
            <w:tcW w:w="6237" w:type="dxa"/>
            <w:shd w:val="clear" w:color="auto" w:fill="D9D9D9"/>
          </w:tcPr>
          <w:p w14:paraId="1358B8E8" w14:textId="77777777" w:rsidR="00F45099" w:rsidRPr="0042537F" w:rsidRDefault="00F45099" w:rsidP="0042537F">
            <w:pPr>
              <w:pStyle w:val="ListParagraph"/>
              <w:numPr>
                <w:ilvl w:val="0"/>
                <w:numId w:val="31"/>
              </w:numPr>
              <w:spacing w:before="60" w:after="60" w:line="240" w:lineRule="auto"/>
              <w:ind w:left="474" w:hanging="425"/>
              <w:rPr>
                <w:rFonts w:ascii="Arial" w:hAnsi="Arial" w:cs="Arial"/>
                <w:b/>
                <w:sz w:val="20"/>
                <w:szCs w:val="20"/>
                <w:lang w:val="fr-BE"/>
              </w:rPr>
            </w:pPr>
            <w:r w:rsidRPr="0042537F">
              <w:rPr>
                <w:rFonts w:ascii="Arial" w:hAnsi="Arial" w:cs="Arial"/>
                <w:b/>
                <w:sz w:val="20"/>
                <w:szCs w:val="20"/>
                <w:lang w:val="fr-BE"/>
              </w:rPr>
              <w:t>Autres auditeurs</w:t>
            </w:r>
          </w:p>
        </w:tc>
        <w:tc>
          <w:tcPr>
            <w:tcW w:w="851" w:type="dxa"/>
          </w:tcPr>
          <w:p w14:paraId="1358B8E9"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CEA</w:t>
            </w:r>
          </w:p>
        </w:tc>
        <w:tc>
          <w:tcPr>
            <w:tcW w:w="6662" w:type="dxa"/>
            <w:vAlign w:val="center"/>
          </w:tcPr>
          <w:p w14:paraId="1358B8EA"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8EF" w14:textId="77777777" w:rsidTr="00FD157F">
        <w:trPr>
          <w:trHeight w:val="555"/>
        </w:trPr>
        <w:tc>
          <w:tcPr>
            <w:tcW w:w="6237" w:type="dxa"/>
          </w:tcPr>
          <w:p w14:paraId="1358B8EC" w14:textId="77777777" w:rsidR="00E071B1" w:rsidRPr="00DC205F" w:rsidRDefault="00F45099" w:rsidP="00D1678C">
            <w:pPr>
              <w:spacing w:before="60" w:after="60" w:line="240" w:lineRule="auto"/>
              <w:jc w:val="both"/>
              <w:rPr>
                <w:rFonts w:ascii="Arial" w:hAnsi="Arial" w:cs="Arial"/>
                <w:sz w:val="20"/>
                <w:szCs w:val="20"/>
                <w:lang w:val="fr-BE"/>
              </w:rPr>
            </w:pPr>
            <w:r w:rsidRPr="00DC205F">
              <w:rPr>
                <w:rFonts w:ascii="Arial" w:hAnsi="Arial" w:cs="Arial"/>
                <w:sz w:val="20"/>
                <w:szCs w:val="20"/>
                <w:lang w:val="fr-BE"/>
              </w:rPr>
              <w:lastRenderedPageBreak/>
              <w:t xml:space="preserve">Demander des informations auprès d’autres auditeurs impliqués dans l’audit (ou l’auditeur précédent) au sujet de leur connaissance des parties liées </w:t>
            </w:r>
            <w:r>
              <w:rPr>
                <w:rFonts w:ascii="Arial" w:hAnsi="Arial" w:cs="Arial"/>
                <w:sz w:val="20"/>
                <w:szCs w:val="20"/>
                <w:lang w:val="fr-BE"/>
              </w:rPr>
              <w:t>(y compris la nature des transactions).</w:t>
            </w:r>
          </w:p>
        </w:tc>
        <w:tc>
          <w:tcPr>
            <w:tcW w:w="851" w:type="dxa"/>
            <w:vAlign w:val="center"/>
          </w:tcPr>
          <w:p w14:paraId="1358B8ED"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vAlign w:val="center"/>
          </w:tcPr>
          <w:p w14:paraId="1358B8EE"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B33FA4" w14:paraId="1358B8F3" w14:textId="77777777" w:rsidTr="00FD157F">
        <w:trPr>
          <w:trHeight w:val="374"/>
        </w:trPr>
        <w:tc>
          <w:tcPr>
            <w:tcW w:w="6237" w:type="dxa"/>
            <w:shd w:val="clear" w:color="auto" w:fill="D9D9D9"/>
          </w:tcPr>
          <w:p w14:paraId="1358B8F0" w14:textId="77777777" w:rsidR="00F45099" w:rsidRPr="0042537F" w:rsidRDefault="00F45099" w:rsidP="0042537F">
            <w:pPr>
              <w:pStyle w:val="ListParagraph"/>
              <w:numPr>
                <w:ilvl w:val="0"/>
                <w:numId w:val="31"/>
              </w:numPr>
              <w:tabs>
                <w:tab w:val="clear" w:pos="720"/>
                <w:tab w:val="num" w:pos="474"/>
              </w:tabs>
              <w:spacing w:before="60" w:after="60" w:line="240" w:lineRule="auto"/>
              <w:ind w:hanging="671"/>
              <w:rPr>
                <w:rFonts w:ascii="Arial" w:hAnsi="Arial" w:cs="Arial"/>
                <w:b/>
                <w:sz w:val="20"/>
                <w:szCs w:val="20"/>
                <w:lang w:val="fr-BE"/>
              </w:rPr>
            </w:pPr>
            <w:r w:rsidRPr="0042537F">
              <w:rPr>
                <w:rFonts w:ascii="Arial" w:hAnsi="Arial" w:cs="Arial"/>
                <w:b/>
                <w:sz w:val="20"/>
                <w:szCs w:val="20"/>
                <w:lang w:val="fr-BE"/>
              </w:rPr>
              <w:t xml:space="preserve">Identification des parties liées </w:t>
            </w:r>
          </w:p>
        </w:tc>
        <w:tc>
          <w:tcPr>
            <w:tcW w:w="851" w:type="dxa"/>
            <w:vAlign w:val="center"/>
          </w:tcPr>
          <w:p w14:paraId="1358B8F1"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EA</w:t>
            </w:r>
          </w:p>
        </w:tc>
        <w:tc>
          <w:tcPr>
            <w:tcW w:w="6662" w:type="dxa"/>
            <w:vAlign w:val="center"/>
          </w:tcPr>
          <w:p w14:paraId="1358B8F2"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03" w14:textId="77777777" w:rsidTr="00FD157F">
        <w:trPr>
          <w:trHeight w:val="492"/>
        </w:trPr>
        <w:tc>
          <w:tcPr>
            <w:tcW w:w="6237" w:type="dxa"/>
          </w:tcPr>
          <w:p w14:paraId="1358B8F4" w14:textId="77777777" w:rsidR="001323FF" w:rsidRPr="00DC205F" w:rsidRDefault="00F45099" w:rsidP="00531CA0">
            <w:pPr>
              <w:spacing w:before="60" w:after="60" w:line="240" w:lineRule="auto"/>
              <w:jc w:val="both"/>
              <w:rPr>
                <w:rFonts w:ascii="Arial" w:hAnsi="Arial" w:cs="Arial"/>
                <w:sz w:val="20"/>
                <w:szCs w:val="20"/>
                <w:lang w:val="fr-BE"/>
              </w:rPr>
            </w:pPr>
            <w:r w:rsidRPr="00DC205F">
              <w:rPr>
                <w:rFonts w:ascii="Arial" w:hAnsi="Arial" w:cs="Arial"/>
                <w:sz w:val="20"/>
                <w:szCs w:val="20"/>
                <w:lang w:val="fr-BE"/>
              </w:rPr>
              <w:t>Examiner les éléments suivants afin</w:t>
            </w:r>
            <w:r>
              <w:rPr>
                <w:rFonts w:ascii="Arial" w:hAnsi="Arial" w:cs="Arial"/>
                <w:sz w:val="20"/>
                <w:szCs w:val="20"/>
                <w:lang w:val="fr-BE"/>
              </w:rPr>
              <w:t xml:space="preserve"> d’identifier</w:t>
            </w:r>
            <w:r w:rsidRPr="00DC205F">
              <w:rPr>
                <w:rFonts w:ascii="Arial" w:hAnsi="Arial" w:cs="Arial"/>
                <w:sz w:val="20"/>
                <w:szCs w:val="20"/>
                <w:lang w:val="fr-BE"/>
              </w:rPr>
              <w:t xml:space="preserve"> </w:t>
            </w:r>
            <w:r>
              <w:rPr>
                <w:rFonts w:ascii="Arial" w:hAnsi="Arial" w:cs="Arial"/>
                <w:sz w:val="20"/>
                <w:szCs w:val="20"/>
                <w:lang w:val="fr-BE"/>
              </w:rPr>
              <w:t xml:space="preserve">d’éventuelles </w:t>
            </w:r>
            <w:r w:rsidRPr="00DC205F">
              <w:rPr>
                <w:rFonts w:ascii="Arial" w:hAnsi="Arial" w:cs="Arial"/>
                <w:sz w:val="20"/>
                <w:szCs w:val="20"/>
                <w:lang w:val="fr-BE"/>
              </w:rPr>
              <w:t>parties liées et de</w:t>
            </w:r>
            <w:r>
              <w:rPr>
                <w:rFonts w:ascii="Arial" w:hAnsi="Arial" w:cs="Arial"/>
                <w:sz w:val="20"/>
                <w:szCs w:val="20"/>
                <w:lang w:val="fr-BE"/>
              </w:rPr>
              <w:t>s</w:t>
            </w:r>
            <w:r w:rsidRPr="00DC205F">
              <w:rPr>
                <w:rFonts w:ascii="Arial" w:hAnsi="Arial" w:cs="Arial"/>
                <w:sz w:val="20"/>
                <w:szCs w:val="20"/>
                <w:lang w:val="fr-BE"/>
              </w:rPr>
              <w:t xml:space="preserve"> transactions</w:t>
            </w:r>
            <w:r>
              <w:rPr>
                <w:rFonts w:ascii="Arial" w:hAnsi="Arial" w:cs="Arial"/>
                <w:sz w:val="20"/>
                <w:szCs w:val="20"/>
                <w:lang w:val="fr-BE"/>
              </w:rPr>
              <w:t xml:space="preserve"> avec celles-ci </w:t>
            </w:r>
            <w:r w:rsidRPr="00DC205F">
              <w:rPr>
                <w:rFonts w:ascii="Arial" w:hAnsi="Arial" w:cs="Arial"/>
                <w:sz w:val="20"/>
                <w:szCs w:val="20"/>
                <w:lang w:val="fr-BE"/>
              </w:rPr>
              <w:t>:</w:t>
            </w:r>
          </w:p>
          <w:p w14:paraId="1358B8F5" w14:textId="77777777" w:rsidR="00F45099" w:rsidRPr="00DC205F" w:rsidRDefault="00F45099" w:rsidP="00531CA0">
            <w:pPr>
              <w:pStyle w:val="ListParagraph"/>
              <w:numPr>
                <w:ilvl w:val="0"/>
                <w:numId w:val="22"/>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les dispositions légales et r</w:t>
            </w:r>
            <w:r>
              <w:rPr>
                <w:rFonts w:ascii="Arial" w:hAnsi="Arial" w:cs="Arial"/>
                <w:sz w:val="20"/>
                <w:szCs w:val="20"/>
                <w:lang w:val="fr-BE"/>
              </w:rPr>
              <w:t>é</w:t>
            </w:r>
            <w:r w:rsidRPr="00DC205F">
              <w:rPr>
                <w:rFonts w:ascii="Arial" w:hAnsi="Arial" w:cs="Arial"/>
                <w:sz w:val="20"/>
                <w:szCs w:val="20"/>
                <w:lang w:val="fr-BE"/>
              </w:rPr>
              <w:t>glementaires pertinentes</w:t>
            </w:r>
            <w:r w:rsidR="004765E6">
              <w:rPr>
                <w:rFonts w:ascii="Arial" w:hAnsi="Arial" w:cs="Arial"/>
                <w:sz w:val="20"/>
                <w:szCs w:val="20"/>
                <w:lang w:val="fr-BE"/>
              </w:rPr>
              <w:t> ;</w:t>
            </w:r>
          </w:p>
          <w:p w14:paraId="1358B8F6" w14:textId="77777777" w:rsidR="00F45099" w:rsidRPr="00DC205F" w:rsidRDefault="00F45099" w:rsidP="00531CA0">
            <w:pPr>
              <w:pStyle w:val="ListParagraph"/>
              <w:numPr>
                <w:ilvl w:val="0"/>
                <w:numId w:val="22"/>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le registre des</w:t>
            </w:r>
            <w:r>
              <w:rPr>
                <w:rFonts w:ascii="Arial" w:hAnsi="Arial" w:cs="Arial"/>
                <w:sz w:val="20"/>
                <w:szCs w:val="20"/>
                <w:lang w:val="fr-BE"/>
              </w:rPr>
              <w:t xml:space="preserve"> actionnaires,</w:t>
            </w:r>
            <w:r w:rsidRPr="00DC205F">
              <w:rPr>
                <w:rFonts w:ascii="Arial" w:hAnsi="Arial" w:cs="Arial"/>
                <w:sz w:val="20"/>
                <w:szCs w:val="20"/>
                <w:lang w:val="fr-BE"/>
              </w:rPr>
              <w:t xml:space="preserve"> les procès-verbaux des réunions </w:t>
            </w:r>
            <w:r w:rsidR="00531CA0">
              <w:rPr>
                <w:rFonts w:ascii="Arial" w:hAnsi="Arial" w:cs="Arial"/>
                <w:sz w:val="20"/>
                <w:szCs w:val="20"/>
                <w:lang w:val="fr-BE"/>
              </w:rPr>
              <w:t>des a</w:t>
            </w:r>
            <w:r>
              <w:rPr>
                <w:rFonts w:ascii="Arial" w:hAnsi="Arial" w:cs="Arial"/>
                <w:sz w:val="20"/>
                <w:szCs w:val="20"/>
                <w:lang w:val="fr-BE"/>
              </w:rPr>
              <w:t>ssemblées générales</w:t>
            </w:r>
            <w:r w:rsidR="00531CA0">
              <w:rPr>
                <w:rFonts w:ascii="Arial" w:hAnsi="Arial" w:cs="Arial"/>
                <w:sz w:val="20"/>
                <w:szCs w:val="20"/>
                <w:lang w:val="fr-BE"/>
              </w:rPr>
              <w:t xml:space="preserve"> et du c</w:t>
            </w:r>
            <w:r w:rsidR="004765E6">
              <w:rPr>
                <w:rFonts w:ascii="Arial" w:hAnsi="Arial" w:cs="Arial"/>
                <w:sz w:val="20"/>
                <w:szCs w:val="20"/>
                <w:lang w:val="fr-BE"/>
              </w:rPr>
              <w:t>onseil d’administration ;</w:t>
            </w:r>
          </w:p>
          <w:p w14:paraId="1358B8F7" w14:textId="77777777" w:rsidR="00F45099" w:rsidRPr="00DC205F" w:rsidRDefault="00F45099" w:rsidP="00DC1DE8">
            <w:pPr>
              <w:pStyle w:val="ListParagraph"/>
              <w:numPr>
                <w:ilvl w:val="0"/>
                <w:numId w:val="22"/>
              </w:numPr>
              <w:spacing w:after="0" w:line="240" w:lineRule="auto"/>
              <w:ind w:left="357" w:hanging="357"/>
              <w:contextualSpacing w:val="0"/>
              <w:jc w:val="both"/>
              <w:rPr>
                <w:rFonts w:ascii="Arial" w:hAnsi="Arial" w:cs="Arial"/>
                <w:sz w:val="20"/>
                <w:szCs w:val="20"/>
                <w:lang w:val="fr-BE"/>
              </w:rPr>
            </w:pPr>
            <w:r w:rsidRPr="00DC205F">
              <w:rPr>
                <w:rFonts w:ascii="Arial" w:hAnsi="Arial" w:cs="Arial"/>
                <w:sz w:val="20"/>
                <w:szCs w:val="20"/>
                <w:lang w:val="fr-BE"/>
              </w:rPr>
              <w:t xml:space="preserve">les </w:t>
            </w:r>
            <w:r>
              <w:rPr>
                <w:rFonts w:ascii="Arial" w:hAnsi="Arial" w:cs="Arial"/>
                <w:sz w:val="20"/>
                <w:szCs w:val="20"/>
                <w:lang w:val="fr-BE"/>
              </w:rPr>
              <w:t>décomptes d’honoraires</w:t>
            </w:r>
            <w:r w:rsidRPr="00DC205F">
              <w:rPr>
                <w:rFonts w:ascii="Arial" w:hAnsi="Arial" w:cs="Arial"/>
                <w:sz w:val="20"/>
                <w:szCs w:val="20"/>
                <w:lang w:val="fr-BE"/>
              </w:rPr>
              <w:t xml:space="preserve"> et correspondances </w:t>
            </w:r>
            <w:r>
              <w:rPr>
                <w:rFonts w:ascii="Arial" w:hAnsi="Arial" w:cs="Arial"/>
                <w:sz w:val="20"/>
                <w:szCs w:val="20"/>
                <w:lang w:val="fr-BE"/>
              </w:rPr>
              <w:t xml:space="preserve">avec les </w:t>
            </w:r>
            <w:r w:rsidR="004765E6">
              <w:rPr>
                <w:rFonts w:ascii="Arial" w:hAnsi="Arial" w:cs="Arial"/>
                <w:sz w:val="20"/>
                <w:szCs w:val="20"/>
                <w:lang w:val="fr-BE"/>
              </w:rPr>
              <w:t xml:space="preserve"> avocats ;</w:t>
            </w:r>
          </w:p>
          <w:p w14:paraId="1358B8F8" w14:textId="77777777" w:rsidR="00F45099" w:rsidRPr="00DC205F" w:rsidRDefault="00F45099" w:rsidP="00DC1DE8">
            <w:pPr>
              <w:pStyle w:val="ListParagraph"/>
              <w:numPr>
                <w:ilvl w:val="0"/>
                <w:numId w:val="22"/>
              </w:numPr>
              <w:spacing w:after="0" w:line="240" w:lineRule="auto"/>
              <w:ind w:left="357" w:hanging="357"/>
              <w:contextualSpacing w:val="0"/>
              <w:jc w:val="both"/>
              <w:rPr>
                <w:rFonts w:ascii="Arial" w:hAnsi="Arial" w:cs="Arial"/>
                <w:sz w:val="20"/>
                <w:szCs w:val="20"/>
                <w:lang w:val="fr-BE"/>
              </w:rPr>
            </w:pPr>
            <w:r w:rsidRPr="00DC205F">
              <w:rPr>
                <w:rFonts w:ascii="Arial" w:hAnsi="Arial" w:cs="Arial"/>
                <w:sz w:val="20"/>
                <w:szCs w:val="20"/>
                <w:lang w:val="fr-BE"/>
              </w:rPr>
              <w:t>les investissements pendant l’exercice : examiner les achats significatifs et les cessions</w:t>
            </w:r>
            <w:r>
              <w:rPr>
                <w:rFonts w:ascii="Arial" w:hAnsi="Arial" w:cs="Arial"/>
                <w:sz w:val="20"/>
                <w:szCs w:val="20"/>
                <w:lang w:val="fr-BE"/>
              </w:rPr>
              <w:t xml:space="preserve"> intervenues</w:t>
            </w:r>
            <w:r w:rsidRPr="00DC205F">
              <w:rPr>
                <w:rFonts w:ascii="Arial" w:hAnsi="Arial" w:cs="Arial"/>
                <w:sz w:val="20"/>
                <w:szCs w:val="20"/>
                <w:lang w:val="fr-BE"/>
              </w:rPr>
              <w:t xml:space="preserve"> pendant l’exercice faisant l’objet de l’examen afin </w:t>
            </w:r>
            <w:r w:rsidR="00531CA0">
              <w:rPr>
                <w:rFonts w:ascii="Arial" w:hAnsi="Arial" w:cs="Arial"/>
                <w:sz w:val="20"/>
                <w:szCs w:val="20"/>
                <w:lang w:val="fr-BE"/>
              </w:rPr>
              <w:t xml:space="preserve">de </w:t>
            </w:r>
            <w:r w:rsidRPr="00DC205F">
              <w:rPr>
                <w:rFonts w:ascii="Arial" w:hAnsi="Arial" w:cs="Arial"/>
                <w:sz w:val="20"/>
                <w:szCs w:val="20"/>
                <w:lang w:val="fr-BE"/>
              </w:rPr>
              <w:t xml:space="preserve">déterminer si la nature et la portée des investissements peuvent être considérés comme transactions entre </w:t>
            </w:r>
            <w:r w:rsidR="004765E6">
              <w:rPr>
                <w:rFonts w:ascii="Arial" w:hAnsi="Arial" w:cs="Arial"/>
                <w:sz w:val="20"/>
                <w:szCs w:val="20"/>
                <w:lang w:val="fr-BE"/>
              </w:rPr>
              <w:t>parties liées ;</w:t>
            </w:r>
          </w:p>
          <w:p w14:paraId="1358B8F9" w14:textId="77777777" w:rsidR="00F45099" w:rsidRPr="00DC205F" w:rsidRDefault="00F45099" w:rsidP="00DC1DE8">
            <w:pPr>
              <w:pStyle w:val="ListParagraph"/>
              <w:numPr>
                <w:ilvl w:val="0"/>
                <w:numId w:val="22"/>
              </w:numPr>
              <w:spacing w:after="0" w:line="240" w:lineRule="auto"/>
              <w:ind w:left="357" w:hanging="357"/>
              <w:contextualSpacing w:val="0"/>
              <w:jc w:val="both"/>
              <w:rPr>
                <w:rFonts w:ascii="Arial" w:hAnsi="Arial" w:cs="Arial"/>
                <w:sz w:val="20"/>
                <w:szCs w:val="20"/>
                <w:lang w:val="fr-BE"/>
              </w:rPr>
            </w:pPr>
            <w:r w:rsidRPr="00DC205F">
              <w:rPr>
                <w:rFonts w:ascii="Arial" w:hAnsi="Arial" w:cs="Arial"/>
                <w:sz w:val="20"/>
                <w:szCs w:val="20"/>
                <w:lang w:val="fr-BE"/>
              </w:rPr>
              <w:t xml:space="preserve">les procès-verbaux des réunions </w:t>
            </w:r>
            <w:r>
              <w:rPr>
                <w:rFonts w:ascii="Arial" w:hAnsi="Arial" w:cs="Arial"/>
                <w:sz w:val="20"/>
                <w:szCs w:val="20"/>
                <w:lang w:val="fr-BE"/>
              </w:rPr>
              <w:t xml:space="preserve">d’autres organes ou comités </w:t>
            </w:r>
            <w:r w:rsidR="004765E6">
              <w:rPr>
                <w:rFonts w:ascii="Arial" w:hAnsi="Arial" w:cs="Arial"/>
                <w:sz w:val="20"/>
                <w:szCs w:val="20"/>
                <w:lang w:val="fr-BE"/>
              </w:rPr>
              <w:t>de l’entité ;</w:t>
            </w:r>
          </w:p>
          <w:p w14:paraId="1358B8FA" w14:textId="77777777" w:rsidR="00F45099" w:rsidRPr="00DC205F" w:rsidRDefault="00F45099" w:rsidP="00DC1DE8">
            <w:pPr>
              <w:pStyle w:val="ListParagraph"/>
              <w:numPr>
                <w:ilvl w:val="0"/>
                <w:numId w:val="22"/>
              </w:numPr>
              <w:spacing w:after="0" w:line="240" w:lineRule="auto"/>
              <w:ind w:left="357" w:hanging="357"/>
              <w:contextualSpacing w:val="0"/>
              <w:jc w:val="both"/>
              <w:rPr>
                <w:rFonts w:ascii="Arial" w:hAnsi="Arial" w:cs="Arial"/>
                <w:sz w:val="20"/>
                <w:szCs w:val="20"/>
                <w:lang w:val="fr-BE"/>
              </w:rPr>
            </w:pPr>
            <w:r w:rsidRPr="00DC205F">
              <w:rPr>
                <w:rFonts w:ascii="Arial" w:hAnsi="Arial" w:cs="Arial"/>
                <w:sz w:val="20"/>
                <w:szCs w:val="20"/>
                <w:lang w:val="fr-BE"/>
              </w:rPr>
              <w:t>les régimes de retraites et autres avantages sociaux des ad</w:t>
            </w:r>
            <w:r w:rsidR="004765E6">
              <w:rPr>
                <w:rFonts w:ascii="Arial" w:hAnsi="Arial" w:cs="Arial"/>
                <w:sz w:val="20"/>
                <w:szCs w:val="20"/>
                <w:lang w:val="fr-BE"/>
              </w:rPr>
              <w:t>ministrateurs et des directeurs ;</w:t>
            </w:r>
          </w:p>
          <w:p w14:paraId="1358B8FB" w14:textId="77777777" w:rsidR="00F45099" w:rsidRDefault="004765E6" w:rsidP="00DC1DE8">
            <w:pPr>
              <w:pStyle w:val="ListParagraph"/>
              <w:numPr>
                <w:ilvl w:val="0"/>
                <w:numId w:val="22"/>
              </w:numPr>
              <w:spacing w:after="0" w:line="240" w:lineRule="auto"/>
              <w:ind w:left="357" w:hanging="357"/>
              <w:contextualSpacing w:val="0"/>
              <w:jc w:val="both"/>
              <w:rPr>
                <w:rFonts w:ascii="Arial" w:hAnsi="Arial" w:cs="Arial"/>
                <w:sz w:val="20"/>
                <w:szCs w:val="20"/>
                <w:lang w:val="fr-BE"/>
              </w:rPr>
            </w:pPr>
            <w:r>
              <w:rPr>
                <w:rFonts w:ascii="Arial" w:hAnsi="Arial" w:cs="Arial"/>
                <w:sz w:val="20"/>
                <w:szCs w:val="20"/>
                <w:lang w:val="fr-BE"/>
              </w:rPr>
              <w:t>les contrats et autres accords ;</w:t>
            </w:r>
          </w:p>
          <w:p w14:paraId="1358B8FC" w14:textId="77777777" w:rsidR="00F45099" w:rsidRPr="00DC205F" w:rsidRDefault="00F45099" w:rsidP="00DC1DE8">
            <w:pPr>
              <w:pStyle w:val="ListParagraph"/>
              <w:numPr>
                <w:ilvl w:val="0"/>
                <w:numId w:val="22"/>
              </w:numPr>
              <w:spacing w:after="0" w:line="240" w:lineRule="auto"/>
              <w:ind w:left="357" w:hanging="357"/>
              <w:contextualSpacing w:val="0"/>
              <w:jc w:val="both"/>
              <w:rPr>
                <w:rFonts w:ascii="Arial" w:hAnsi="Arial" w:cs="Arial"/>
                <w:sz w:val="20"/>
                <w:szCs w:val="20"/>
                <w:lang w:val="fr-BE"/>
              </w:rPr>
            </w:pPr>
            <w:r w:rsidRPr="00DC205F">
              <w:rPr>
                <w:rFonts w:ascii="Arial" w:hAnsi="Arial" w:cs="Arial"/>
                <w:sz w:val="20"/>
                <w:szCs w:val="20"/>
                <w:lang w:val="fr-BE"/>
              </w:rPr>
              <w:t>les garanties bancaires et autres ainsi que</w:t>
            </w:r>
            <w:r w:rsidR="004765E6">
              <w:rPr>
                <w:rFonts w:ascii="Arial" w:hAnsi="Arial" w:cs="Arial"/>
                <w:sz w:val="20"/>
                <w:szCs w:val="20"/>
                <w:lang w:val="fr-BE"/>
              </w:rPr>
              <w:t xml:space="preserve"> les confirmations bancaires ;</w:t>
            </w:r>
          </w:p>
          <w:p w14:paraId="1358B8FD" w14:textId="77777777" w:rsidR="00F45099" w:rsidRPr="00DC205F" w:rsidRDefault="00F45099" w:rsidP="00DC1DE8">
            <w:pPr>
              <w:pStyle w:val="ListParagraph"/>
              <w:numPr>
                <w:ilvl w:val="0"/>
                <w:numId w:val="22"/>
              </w:numPr>
              <w:spacing w:after="0" w:line="240" w:lineRule="auto"/>
              <w:ind w:left="357" w:hanging="357"/>
              <w:contextualSpacing w:val="0"/>
              <w:jc w:val="both"/>
              <w:rPr>
                <w:rFonts w:ascii="Arial" w:hAnsi="Arial" w:cs="Arial"/>
                <w:sz w:val="20"/>
                <w:szCs w:val="20"/>
                <w:lang w:val="fr-BE"/>
              </w:rPr>
            </w:pPr>
            <w:r w:rsidRPr="00DC205F">
              <w:rPr>
                <w:rFonts w:ascii="Arial" w:hAnsi="Arial" w:cs="Arial"/>
                <w:sz w:val="20"/>
                <w:szCs w:val="20"/>
                <w:lang w:val="fr-BE"/>
              </w:rPr>
              <w:t>les documents de travail de l’exercice précédent concernant les</w:t>
            </w:r>
            <w:r w:rsidR="004765E6">
              <w:rPr>
                <w:rFonts w:ascii="Arial" w:hAnsi="Arial" w:cs="Arial"/>
                <w:sz w:val="20"/>
                <w:szCs w:val="20"/>
                <w:lang w:val="fr-BE"/>
              </w:rPr>
              <w:t xml:space="preserve"> noms des parties liées connues ;</w:t>
            </w:r>
          </w:p>
          <w:p w14:paraId="1358B8FE" w14:textId="77777777" w:rsidR="001323FF" w:rsidRPr="004A2C7C" w:rsidRDefault="00F45099" w:rsidP="00DC1DE8">
            <w:pPr>
              <w:pStyle w:val="ListParagraph"/>
              <w:numPr>
                <w:ilvl w:val="0"/>
                <w:numId w:val="22"/>
              </w:numPr>
              <w:spacing w:after="0" w:line="240" w:lineRule="auto"/>
              <w:ind w:left="357" w:hanging="357"/>
              <w:contextualSpacing w:val="0"/>
              <w:jc w:val="both"/>
              <w:rPr>
                <w:rFonts w:ascii="Arial" w:hAnsi="Arial" w:cs="Arial"/>
                <w:sz w:val="20"/>
                <w:szCs w:val="20"/>
                <w:lang w:val="fr-BE"/>
              </w:rPr>
            </w:pPr>
            <w:r w:rsidRPr="004A2C7C">
              <w:rPr>
                <w:rFonts w:ascii="Arial" w:hAnsi="Arial" w:cs="Arial"/>
                <w:sz w:val="20"/>
                <w:szCs w:val="20"/>
                <w:lang w:val="fr-BE"/>
              </w:rPr>
              <w:t>la nature et la portée des activités de l’entité avec ses clients importants, les fournisseurs, les emprunteurs et les prêteurs afin d’identifier les relations avec d’éven</w:t>
            </w:r>
            <w:r w:rsidR="004765E6" w:rsidRPr="004A2C7C">
              <w:rPr>
                <w:rFonts w:ascii="Arial" w:hAnsi="Arial" w:cs="Arial"/>
                <w:sz w:val="20"/>
                <w:szCs w:val="20"/>
                <w:lang w:val="fr-BE"/>
              </w:rPr>
              <w:t>tuelles nouvelles parties liées ;</w:t>
            </w:r>
          </w:p>
          <w:p w14:paraId="1358B8FF" w14:textId="77777777" w:rsidR="00D1678C" w:rsidRDefault="00F45099" w:rsidP="00DC1DE8">
            <w:pPr>
              <w:pStyle w:val="ListParagraph"/>
              <w:numPr>
                <w:ilvl w:val="0"/>
                <w:numId w:val="22"/>
              </w:numPr>
              <w:spacing w:after="0" w:line="240" w:lineRule="auto"/>
              <w:contextualSpacing w:val="0"/>
              <w:jc w:val="both"/>
              <w:rPr>
                <w:rFonts w:ascii="Arial" w:hAnsi="Arial" w:cs="Arial"/>
                <w:sz w:val="20"/>
                <w:szCs w:val="20"/>
                <w:lang w:val="fr-BE"/>
              </w:rPr>
            </w:pPr>
            <w:r w:rsidRPr="00DC205F">
              <w:rPr>
                <w:rFonts w:ascii="Arial" w:hAnsi="Arial" w:cs="Arial"/>
                <w:sz w:val="20"/>
                <w:szCs w:val="20"/>
                <w:lang w:val="fr-BE"/>
              </w:rPr>
              <w:t xml:space="preserve">les autres sources disponibles, </w:t>
            </w:r>
            <w:r w:rsidR="00531CA0">
              <w:rPr>
                <w:rFonts w:ascii="Arial" w:hAnsi="Arial" w:cs="Arial"/>
                <w:sz w:val="20"/>
                <w:szCs w:val="20"/>
                <w:lang w:val="fr-BE"/>
              </w:rPr>
              <w:t xml:space="preserve">y compris des données externes </w:t>
            </w:r>
            <w:r w:rsidRPr="00DC205F">
              <w:rPr>
                <w:rFonts w:ascii="Arial" w:hAnsi="Arial" w:cs="Arial"/>
                <w:sz w:val="20"/>
                <w:szCs w:val="20"/>
                <w:lang w:val="fr-BE"/>
              </w:rPr>
              <w:t xml:space="preserve">et des recherches internet pour identifier les noms des parties liées et des autres entités où les administrateurs ont des </w:t>
            </w:r>
            <w:r w:rsidRPr="00DC205F">
              <w:rPr>
                <w:rFonts w:ascii="Arial" w:hAnsi="Arial" w:cs="Arial"/>
                <w:sz w:val="20"/>
                <w:szCs w:val="20"/>
                <w:lang w:val="fr-BE"/>
              </w:rPr>
              <w:lastRenderedPageBreak/>
              <w:t>intérêts patrimoniaux, ou occupent des fonctions de directeurs ou administrateurs.</w:t>
            </w:r>
          </w:p>
          <w:p w14:paraId="1358B900" w14:textId="77777777" w:rsidR="00DC1DE8" w:rsidRPr="00D1678C" w:rsidRDefault="00DC1DE8" w:rsidP="00DC1DE8">
            <w:pPr>
              <w:pStyle w:val="ListParagraph"/>
              <w:spacing w:after="0" w:line="240" w:lineRule="auto"/>
              <w:ind w:left="360"/>
              <w:contextualSpacing w:val="0"/>
              <w:jc w:val="both"/>
              <w:rPr>
                <w:rFonts w:ascii="Arial" w:hAnsi="Arial" w:cs="Arial"/>
                <w:sz w:val="20"/>
                <w:szCs w:val="20"/>
                <w:lang w:val="fr-BE"/>
              </w:rPr>
            </w:pPr>
          </w:p>
        </w:tc>
        <w:tc>
          <w:tcPr>
            <w:tcW w:w="851" w:type="dxa"/>
            <w:vAlign w:val="center"/>
          </w:tcPr>
          <w:p w14:paraId="1358B901"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vAlign w:val="center"/>
          </w:tcPr>
          <w:p w14:paraId="1358B902" w14:textId="77777777" w:rsidR="00F45099" w:rsidRPr="00DC205F" w:rsidRDefault="00F45099" w:rsidP="00DC205F">
            <w:pPr>
              <w:spacing w:before="60" w:after="60" w:line="240" w:lineRule="auto"/>
              <w:jc w:val="center"/>
              <w:rPr>
                <w:rFonts w:ascii="Arial" w:hAnsi="Arial" w:cs="Arial"/>
                <w:sz w:val="20"/>
                <w:szCs w:val="20"/>
                <w:lang w:val="fr-BE"/>
              </w:rPr>
            </w:pPr>
          </w:p>
        </w:tc>
      </w:tr>
    </w:tbl>
    <w:p w14:paraId="1358B904" w14:textId="77777777" w:rsidR="00FD157F" w:rsidRPr="00D12B58" w:rsidRDefault="00FD157F">
      <w:pPr>
        <w:rPr>
          <w:lang w:val="fr-BE"/>
        </w:rPr>
      </w:pPr>
      <w:r w:rsidRPr="00D12B58">
        <w:rPr>
          <w:lang w:val="fr-BE"/>
        </w:rPr>
        <w:br w:type="page"/>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7"/>
        <w:gridCol w:w="851"/>
        <w:gridCol w:w="6662"/>
      </w:tblGrid>
      <w:tr w:rsidR="00FD157F" w:rsidRPr="00B33FA4" w14:paraId="1358B908" w14:textId="77777777" w:rsidTr="00FD157F">
        <w:trPr>
          <w:trHeight w:val="555"/>
          <w:tblHeader/>
        </w:trPr>
        <w:tc>
          <w:tcPr>
            <w:tcW w:w="6237" w:type="dxa"/>
            <w:shd w:val="clear" w:color="auto" w:fill="BFBFBF"/>
            <w:vAlign w:val="center"/>
          </w:tcPr>
          <w:p w14:paraId="1358B905" w14:textId="77777777" w:rsidR="00FD157F" w:rsidRPr="00DC205F" w:rsidRDefault="00FD157F" w:rsidP="00FD157F">
            <w:pPr>
              <w:spacing w:before="60" w:after="60" w:line="240" w:lineRule="auto"/>
              <w:jc w:val="center"/>
              <w:rPr>
                <w:rFonts w:ascii="Arial" w:hAnsi="Arial" w:cs="Arial"/>
                <w:b/>
                <w:bCs/>
                <w:sz w:val="20"/>
                <w:szCs w:val="20"/>
                <w:lang w:val="fr-BE"/>
              </w:rPr>
            </w:pPr>
          </w:p>
        </w:tc>
        <w:tc>
          <w:tcPr>
            <w:tcW w:w="851" w:type="dxa"/>
            <w:shd w:val="clear" w:color="auto" w:fill="BFBFBF"/>
            <w:vAlign w:val="center"/>
          </w:tcPr>
          <w:p w14:paraId="1358B906" w14:textId="77777777" w:rsidR="00FD157F" w:rsidRPr="00DC205F" w:rsidRDefault="00FD157F" w:rsidP="00FD157F">
            <w:pPr>
              <w:spacing w:before="60" w:after="60" w:line="240" w:lineRule="auto"/>
              <w:jc w:val="center"/>
              <w:rPr>
                <w:rFonts w:ascii="Arial" w:hAnsi="Arial" w:cs="Arial"/>
                <w:b/>
                <w:bCs/>
                <w:sz w:val="20"/>
                <w:szCs w:val="20"/>
                <w:lang w:val="fr-BE"/>
              </w:rPr>
            </w:pPr>
            <w:r w:rsidRPr="00B33FA4">
              <w:rPr>
                <w:rFonts w:ascii="Arial" w:hAnsi="Arial" w:cs="Arial"/>
                <w:b/>
                <w:sz w:val="20"/>
                <w:szCs w:val="20"/>
                <w:lang w:val="fr-BE"/>
              </w:rPr>
              <w:t>Ass.</w:t>
            </w:r>
            <w:r w:rsidRPr="00B33FA4">
              <w:rPr>
                <w:rStyle w:val="FootnoteReference"/>
                <w:rFonts w:ascii="Arial" w:hAnsi="Arial" w:cs="Arial"/>
                <w:b/>
                <w:sz w:val="20"/>
                <w:szCs w:val="20"/>
                <w:lang w:val="fr-BE"/>
              </w:rPr>
              <w:footnoteReference w:customMarkFollows="1" w:id="2"/>
              <w:sym w:font="Symbol" w:char="F02A"/>
            </w:r>
          </w:p>
        </w:tc>
        <w:tc>
          <w:tcPr>
            <w:tcW w:w="6662" w:type="dxa"/>
            <w:shd w:val="clear" w:color="auto" w:fill="BFBFBF"/>
            <w:vAlign w:val="center"/>
          </w:tcPr>
          <w:p w14:paraId="1358B907" w14:textId="77777777" w:rsidR="00FD157F" w:rsidRPr="00DC205F" w:rsidRDefault="00FD157F" w:rsidP="00FD157F">
            <w:pPr>
              <w:spacing w:before="60" w:after="60" w:line="240" w:lineRule="auto"/>
              <w:jc w:val="center"/>
              <w:rPr>
                <w:rFonts w:ascii="Arial" w:hAnsi="Arial" w:cs="Arial"/>
                <w:b/>
                <w:bCs/>
                <w:sz w:val="20"/>
                <w:szCs w:val="20"/>
                <w:lang w:val="fr-BE"/>
              </w:rPr>
            </w:pPr>
            <w:r w:rsidRPr="00DC205F">
              <w:rPr>
                <w:rFonts w:ascii="Arial" w:hAnsi="Arial" w:cs="Arial"/>
                <w:b/>
                <w:bCs/>
                <w:sz w:val="20"/>
                <w:szCs w:val="20"/>
                <w:lang w:val="fr-BE"/>
              </w:rPr>
              <w:t>Commentaires</w:t>
            </w:r>
          </w:p>
        </w:tc>
      </w:tr>
      <w:tr w:rsidR="00F45099" w:rsidRPr="00B33FA4" w14:paraId="1358B90C" w14:textId="77777777" w:rsidTr="00FD157F">
        <w:trPr>
          <w:trHeight w:val="291"/>
        </w:trPr>
        <w:tc>
          <w:tcPr>
            <w:tcW w:w="6237" w:type="dxa"/>
            <w:shd w:val="clear" w:color="auto" w:fill="D9D9D9"/>
          </w:tcPr>
          <w:p w14:paraId="1358B909" w14:textId="77777777" w:rsidR="00F45099" w:rsidRPr="00DC205F" w:rsidRDefault="00F45099" w:rsidP="0042537F">
            <w:pPr>
              <w:pStyle w:val="ListParagraph"/>
              <w:numPr>
                <w:ilvl w:val="0"/>
                <w:numId w:val="31"/>
              </w:numPr>
              <w:spacing w:before="60" w:after="60" w:line="240" w:lineRule="auto"/>
              <w:ind w:left="447" w:hanging="447"/>
              <w:contextualSpacing w:val="0"/>
              <w:rPr>
                <w:rFonts w:ascii="Arial" w:hAnsi="Arial" w:cs="Arial"/>
                <w:b/>
                <w:bCs/>
                <w:sz w:val="20"/>
                <w:szCs w:val="20"/>
                <w:lang w:val="fr-BE"/>
              </w:rPr>
            </w:pPr>
            <w:r w:rsidRPr="00DC205F">
              <w:rPr>
                <w:rFonts w:ascii="Arial" w:hAnsi="Arial" w:cs="Arial"/>
                <w:b/>
                <w:bCs/>
                <w:sz w:val="20"/>
                <w:szCs w:val="20"/>
                <w:lang w:val="fr-BE"/>
              </w:rPr>
              <w:t>Transactions non-identifiées</w:t>
            </w:r>
          </w:p>
        </w:tc>
        <w:tc>
          <w:tcPr>
            <w:tcW w:w="851" w:type="dxa"/>
          </w:tcPr>
          <w:p w14:paraId="1358B90A"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EA</w:t>
            </w:r>
          </w:p>
        </w:tc>
        <w:tc>
          <w:tcPr>
            <w:tcW w:w="6662" w:type="dxa"/>
          </w:tcPr>
          <w:p w14:paraId="1358B90B"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8820F9" w14:paraId="1358B91B" w14:textId="77777777" w:rsidTr="00FD157F">
        <w:trPr>
          <w:trHeight w:val="3905"/>
        </w:trPr>
        <w:tc>
          <w:tcPr>
            <w:tcW w:w="6237" w:type="dxa"/>
          </w:tcPr>
          <w:p w14:paraId="1358B90D" w14:textId="77777777" w:rsidR="00F45099" w:rsidRPr="00DC205F" w:rsidRDefault="00F45099" w:rsidP="00D536A6">
            <w:pPr>
              <w:spacing w:after="60" w:line="240" w:lineRule="auto"/>
              <w:jc w:val="both"/>
              <w:rPr>
                <w:rFonts w:ascii="Arial" w:hAnsi="Arial" w:cs="Arial"/>
                <w:sz w:val="20"/>
                <w:szCs w:val="20"/>
                <w:lang w:val="fr-BE"/>
              </w:rPr>
            </w:pPr>
            <w:r w:rsidRPr="00DC205F">
              <w:rPr>
                <w:rFonts w:ascii="Arial" w:hAnsi="Arial" w:cs="Arial"/>
                <w:sz w:val="20"/>
                <w:szCs w:val="20"/>
                <w:lang w:val="fr-BE"/>
              </w:rPr>
              <w:t xml:space="preserve">Considérer s’il existe des transactions entre parties liées non </w:t>
            </w:r>
            <w:r>
              <w:rPr>
                <w:rFonts w:ascii="Arial" w:hAnsi="Arial" w:cs="Arial"/>
                <w:sz w:val="20"/>
                <w:szCs w:val="20"/>
                <w:lang w:val="fr-BE"/>
              </w:rPr>
              <w:t xml:space="preserve">renseignées en annexe des comptes annuels par suite </w:t>
            </w:r>
            <w:r w:rsidRPr="00DC205F">
              <w:rPr>
                <w:rFonts w:ascii="Arial" w:hAnsi="Arial" w:cs="Arial"/>
                <w:sz w:val="20"/>
                <w:szCs w:val="20"/>
                <w:lang w:val="fr-BE"/>
              </w:rPr>
              <w:t>de</w:t>
            </w:r>
            <w:r>
              <w:rPr>
                <w:rFonts w:ascii="Arial" w:hAnsi="Arial" w:cs="Arial"/>
                <w:sz w:val="20"/>
                <w:szCs w:val="20"/>
                <w:lang w:val="fr-BE"/>
              </w:rPr>
              <w:t xml:space="preserve"> </w:t>
            </w:r>
            <w:r w:rsidRPr="00DC205F">
              <w:rPr>
                <w:rFonts w:ascii="Arial" w:hAnsi="Arial" w:cs="Arial"/>
                <w:sz w:val="20"/>
                <w:szCs w:val="20"/>
                <w:lang w:val="fr-BE"/>
              </w:rPr>
              <w:t>:</w:t>
            </w:r>
          </w:p>
          <w:p w14:paraId="1358B90E" w14:textId="77777777" w:rsidR="00F45099" w:rsidRPr="00DC205F" w:rsidRDefault="00F45099" w:rsidP="00D536A6">
            <w:pPr>
              <w:pStyle w:val="ListParagraph"/>
              <w:numPr>
                <w:ilvl w:val="0"/>
                <w:numId w:val="25"/>
              </w:numPr>
              <w:spacing w:after="60" w:line="240" w:lineRule="auto"/>
              <w:contextualSpacing w:val="0"/>
              <w:jc w:val="both"/>
              <w:rPr>
                <w:rFonts w:ascii="Arial" w:hAnsi="Arial" w:cs="Arial"/>
                <w:sz w:val="20"/>
                <w:szCs w:val="20"/>
                <w:lang w:val="fr-BE"/>
              </w:rPr>
            </w:pPr>
            <w:r w:rsidRPr="00DC205F">
              <w:rPr>
                <w:rFonts w:ascii="Arial" w:hAnsi="Arial" w:cs="Arial"/>
                <w:sz w:val="20"/>
                <w:szCs w:val="20"/>
                <w:lang w:val="fr-BE"/>
              </w:rPr>
              <w:t xml:space="preserve">conditions </w:t>
            </w:r>
            <w:r>
              <w:rPr>
                <w:rFonts w:ascii="Arial" w:hAnsi="Arial" w:cs="Arial"/>
                <w:sz w:val="20"/>
                <w:szCs w:val="20"/>
                <w:lang w:val="fr-BE"/>
              </w:rPr>
              <w:t xml:space="preserve">commerciales </w:t>
            </w:r>
            <w:r w:rsidRPr="00DC205F">
              <w:rPr>
                <w:rFonts w:ascii="Arial" w:hAnsi="Arial" w:cs="Arial"/>
                <w:sz w:val="20"/>
                <w:szCs w:val="20"/>
                <w:lang w:val="fr-BE"/>
              </w:rPr>
              <w:t>anormales telles que des prix</w:t>
            </w:r>
            <w:r>
              <w:rPr>
                <w:rFonts w:ascii="Arial" w:hAnsi="Arial" w:cs="Arial"/>
                <w:sz w:val="20"/>
                <w:szCs w:val="20"/>
                <w:lang w:val="fr-BE"/>
              </w:rPr>
              <w:t xml:space="preserve"> inhabituels,</w:t>
            </w:r>
            <w:r w:rsidRPr="00DC205F">
              <w:rPr>
                <w:rFonts w:ascii="Arial" w:hAnsi="Arial" w:cs="Arial"/>
                <w:sz w:val="20"/>
                <w:szCs w:val="20"/>
                <w:lang w:val="fr-BE"/>
              </w:rPr>
              <w:t xml:space="preserve"> des taux d’intérêts, des garanties et des délais de paiements anormaux</w:t>
            </w:r>
            <w:r w:rsidR="00DA0CC1">
              <w:rPr>
                <w:rFonts w:ascii="Arial" w:hAnsi="Arial" w:cs="Arial"/>
                <w:sz w:val="20"/>
                <w:szCs w:val="20"/>
                <w:lang w:val="fr-BE"/>
              </w:rPr>
              <w:t> ;</w:t>
            </w:r>
          </w:p>
          <w:p w14:paraId="1358B90F" w14:textId="77777777" w:rsidR="00F45099" w:rsidRPr="00994E27" w:rsidRDefault="00DA0CC1" w:rsidP="00153B4B">
            <w:pPr>
              <w:pStyle w:val="ListParagraph"/>
              <w:numPr>
                <w:ilvl w:val="0"/>
                <w:numId w:val="25"/>
              </w:numPr>
              <w:spacing w:before="60" w:after="60" w:line="240" w:lineRule="auto"/>
              <w:contextualSpacing w:val="0"/>
              <w:jc w:val="both"/>
              <w:rPr>
                <w:rFonts w:ascii="Arial" w:hAnsi="Arial" w:cs="Arial"/>
                <w:sz w:val="20"/>
                <w:szCs w:val="20"/>
                <w:lang w:val="fr-BE"/>
              </w:rPr>
            </w:pPr>
            <w:r>
              <w:rPr>
                <w:rFonts w:ascii="Arial" w:hAnsi="Arial" w:cs="Arial"/>
                <w:sz w:val="20"/>
                <w:szCs w:val="20"/>
                <w:lang w:val="fr-BE"/>
              </w:rPr>
              <w:t>t</w:t>
            </w:r>
            <w:r w:rsidR="00F45099">
              <w:rPr>
                <w:rFonts w:ascii="Arial" w:hAnsi="Arial" w:cs="Arial"/>
                <w:sz w:val="20"/>
                <w:szCs w:val="20"/>
                <w:lang w:val="fr-BE"/>
              </w:rPr>
              <w:t>ransactions inhabituelles ou anormales (tant par leur nature que par leur taille) et particulièrement celles :</w:t>
            </w:r>
            <w:r w:rsidR="00F45099" w:rsidRPr="00994E27">
              <w:rPr>
                <w:rFonts w:ascii="Arial" w:hAnsi="Arial" w:cs="Arial"/>
                <w:sz w:val="20"/>
                <w:szCs w:val="20"/>
                <w:lang w:val="fr-BE"/>
              </w:rPr>
              <w:t xml:space="preserve"> </w:t>
            </w:r>
          </w:p>
          <w:p w14:paraId="1358B910" w14:textId="77777777" w:rsidR="00F45099" w:rsidRPr="00994E27" w:rsidRDefault="00F45099" w:rsidP="00153B4B">
            <w:pPr>
              <w:pStyle w:val="ListParagraph"/>
              <w:numPr>
                <w:ilvl w:val="0"/>
                <w:numId w:val="34"/>
              </w:numPr>
              <w:spacing w:before="60" w:after="60" w:line="240" w:lineRule="auto"/>
              <w:contextualSpacing w:val="0"/>
              <w:jc w:val="both"/>
              <w:rPr>
                <w:rFonts w:ascii="Arial" w:hAnsi="Arial" w:cs="Arial"/>
                <w:sz w:val="20"/>
                <w:szCs w:val="20"/>
                <w:lang w:val="fr-BE"/>
              </w:rPr>
            </w:pPr>
            <w:r w:rsidRPr="00994E27">
              <w:rPr>
                <w:rFonts w:ascii="Arial" w:hAnsi="Arial" w:cs="Arial"/>
                <w:sz w:val="20"/>
                <w:szCs w:val="20"/>
                <w:lang w:val="fr-BE"/>
              </w:rPr>
              <w:t>accepté</w:t>
            </w:r>
            <w:r>
              <w:rPr>
                <w:rFonts w:ascii="Arial" w:hAnsi="Arial" w:cs="Arial"/>
                <w:sz w:val="20"/>
                <w:szCs w:val="20"/>
                <w:lang w:val="fr-BE"/>
              </w:rPr>
              <w:t>es</w:t>
            </w:r>
            <w:r w:rsidRPr="00994E27">
              <w:rPr>
                <w:rFonts w:ascii="Arial" w:hAnsi="Arial" w:cs="Arial"/>
                <w:sz w:val="20"/>
                <w:szCs w:val="20"/>
                <w:lang w:val="fr-BE"/>
              </w:rPr>
              <w:t xml:space="preserve"> à la date ou à une date proche de la date du bilan</w:t>
            </w:r>
            <w:r w:rsidR="004A2C7C">
              <w:rPr>
                <w:rFonts w:ascii="Arial" w:hAnsi="Arial" w:cs="Arial"/>
                <w:sz w:val="20"/>
                <w:szCs w:val="20"/>
                <w:lang w:val="fr-BE"/>
              </w:rPr>
              <w:t> ;</w:t>
            </w:r>
          </w:p>
          <w:p w14:paraId="1358B911" w14:textId="77777777" w:rsidR="00F45099" w:rsidRPr="00994E27" w:rsidRDefault="00F45099" w:rsidP="00153B4B">
            <w:pPr>
              <w:pStyle w:val="ListParagraph"/>
              <w:numPr>
                <w:ilvl w:val="0"/>
                <w:numId w:val="34"/>
              </w:numPr>
              <w:spacing w:before="60" w:after="60" w:line="240" w:lineRule="auto"/>
              <w:contextualSpacing w:val="0"/>
              <w:jc w:val="both"/>
              <w:rPr>
                <w:rFonts w:ascii="Arial" w:hAnsi="Arial" w:cs="Arial"/>
                <w:sz w:val="20"/>
                <w:szCs w:val="20"/>
                <w:lang w:val="fr-BE"/>
              </w:rPr>
            </w:pPr>
            <w:r w:rsidRPr="00994E27">
              <w:rPr>
                <w:rFonts w:ascii="Arial" w:hAnsi="Arial" w:cs="Arial"/>
                <w:sz w:val="20"/>
                <w:szCs w:val="20"/>
                <w:lang w:val="fr-BE"/>
              </w:rPr>
              <w:t>fait</w:t>
            </w:r>
            <w:r>
              <w:rPr>
                <w:rFonts w:ascii="Arial" w:hAnsi="Arial" w:cs="Arial"/>
                <w:sz w:val="20"/>
                <w:szCs w:val="20"/>
                <w:lang w:val="fr-BE"/>
              </w:rPr>
              <w:t>es</w:t>
            </w:r>
            <w:r w:rsidRPr="00994E27">
              <w:rPr>
                <w:rFonts w:ascii="Arial" w:hAnsi="Arial" w:cs="Arial"/>
                <w:sz w:val="20"/>
                <w:szCs w:val="20"/>
                <w:lang w:val="fr-BE"/>
              </w:rPr>
              <w:t xml:space="preserve"> avec des entreprises non habituelles</w:t>
            </w:r>
            <w:r w:rsidR="004A2C7C">
              <w:rPr>
                <w:rFonts w:ascii="Arial" w:hAnsi="Arial" w:cs="Arial"/>
                <w:sz w:val="20"/>
                <w:szCs w:val="20"/>
                <w:lang w:val="fr-BE"/>
              </w:rPr>
              <w:t> ;</w:t>
            </w:r>
          </w:p>
          <w:p w14:paraId="1358B912" w14:textId="77777777" w:rsidR="00F45099" w:rsidRPr="00994E27" w:rsidRDefault="00F45099" w:rsidP="00153B4B">
            <w:pPr>
              <w:pStyle w:val="ListParagraph"/>
              <w:numPr>
                <w:ilvl w:val="0"/>
                <w:numId w:val="34"/>
              </w:numPr>
              <w:spacing w:before="60" w:after="60" w:line="240" w:lineRule="auto"/>
              <w:contextualSpacing w:val="0"/>
              <w:jc w:val="both"/>
              <w:rPr>
                <w:rFonts w:ascii="Arial" w:hAnsi="Arial" w:cs="Arial"/>
                <w:sz w:val="20"/>
                <w:szCs w:val="20"/>
                <w:lang w:val="fr-BE"/>
              </w:rPr>
            </w:pPr>
            <w:r w:rsidRPr="00994E27">
              <w:rPr>
                <w:rFonts w:ascii="Arial" w:hAnsi="Arial" w:cs="Arial"/>
                <w:sz w:val="20"/>
                <w:szCs w:val="20"/>
                <w:lang w:val="fr-BE"/>
              </w:rPr>
              <w:t xml:space="preserve">dont </w:t>
            </w:r>
            <w:r w:rsidR="00DA0CC1">
              <w:rPr>
                <w:rFonts w:ascii="Arial" w:hAnsi="Arial" w:cs="Arial"/>
                <w:sz w:val="20"/>
                <w:szCs w:val="20"/>
                <w:lang w:val="fr-BE"/>
              </w:rPr>
              <w:t>la survenance semble illogique ;</w:t>
            </w:r>
          </w:p>
          <w:p w14:paraId="1358B913" w14:textId="77777777" w:rsidR="00F45099" w:rsidRPr="00DC1DE8" w:rsidRDefault="00F45099" w:rsidP="00153B4B">
            <w:pPr>
              <w:pStyle w:val="ListParagraph"/>
              <w:numPr>
                <w:ilvl w:val="0"/>
                <w:numId w:val="25"/>
              </w:numPr>
              <w:spacing w:before="60" w:after="60" w:line="240" w:lineRule="auto"/>
              <w:contextualSpacing w:val="0"/>
              <w:jc w:val="both"/>
              <w:rPr>
                <w:rFonts w:ascii="Arial" w:hAnsi="Arial" w:cs="Arial"/>
                <w:i/>
                <w:sz w:val="20"/>
                <w:szCs w:val="20"/>
                <w:lang w:val="fr-BE"/>
              </w:rPr>
            </w:pPr>
            <w:r>
              <w:rPr>
                <w:rFonts w:ascii="Arial" w:hAnsi="Arial" w:cs="Arial"/>
                <w:sz w:val="20"/>
                <w:szCs w:val="20"/>
                <w:lang w:val="fr-BE"/>
              </w:rPr>
              <w:t>t</w:t>
            </w:r>
            <w:r w:rsidRPr="00DC205F">
              <w:rPr>
                <w:rFonts w:ascii="Arial" w:hAnsi="Arial" w:cs="Arial"/>
                <w:sz w:val="20"/>
                <w:szCs w:val="20"/>
                <w:lang w:val="fr-BE"/>
              </w:rPr>
              <w:t xml:space="preserve">ransactions </w:t>
            </w:r>
            <w:r>
              <w:rPr>
                <w:rFonts w:ascii="Arial" w:hAnsi="Arial" w:cs="Arial"/>
                <w:sz w:val="20"/>
                <w:szCs w:val="20"/>
                <w:lang w:val="fr-BE"/>
              </w:rPr>
              <w:t>dont la substance</w:t>
            </w:r>
            <w:r w:rsidRPr="00DC205F">
              <w:rPr>
                <w:rFonts w:ascii="Arial" w:hAnsi="Arial" w:cs="Arial"/>
                <w:sz w:val="20"/>
                <w:szCs w:val="20"/>
                <w:lang w:val="fr-BE"/>
              </w:rPr>
              <w:t xml:space="preserve"> diffère de l</w:t>
            </w:r>
            <w:r>
              <w:rPr>
                <w:rFonts w:ascii="Arial" w:hAnsi="Arial" w:cs="Arial"/>
                <w:sz w:val="20"/>
                <w:szCs w:val="20"/>
                <w:lang w:val="fr-BE"/>
              </w:rPr>
              <w:t>a</w:t>
            </w:r>
            <w:r w:rsidR="00DA0CC1">
              <w:rPr>
                <w:rFonts w:ascii="Arial" w:hAnsi="Arial" w:cs="Arial"/>
                <w:sz w:val="20"/>
                <w:szCs w:val="20"/>
                <w:lang w:val="fr-BE"/>
              </w:rPr>
              <w:t xml:space="preserve"> forme</w:t>
            </w:r>
            <w:r w:rsidRPr="00DC205F">
              <w:rPr>
                <w:rFonts w:ascii="Arial" w:hAnsi="Arial" w:cs="Arial"/>
                <w:sz w:val="20"/>
                <w:szCs w:val="20"/>
                <w:lang w:val="fr-BE"/>
              </w:rPr>
              <w:t xml:space="preserve"> </w:t>
            </w:r>
            <w:r>
              <w:rPr>
                <w:rFonts w:ascii="Arial" w:hAnsi="Arial" w:cs="Arial"/>
                <w:sz w:val="20"/>
                <w:szCs w:val="20"/>
                <w:lang w:val="fr-BE"/>
              </w:rPr>
              <w:t>(</w:t>
            </w:r>
            <w:r w:rsidRPr="00DC1DE8">
              <w:rPr>
                <w:rFonts w:ascii="Arial" w:hAnsi="Arial" w:cs="Arial"/>
                <w:i/>
                <w:sz w:val="20"/>
                <w:szCs w:val="20"/>
                <w:lang w:val="fr-BE"/>
              </w:rPr>
              <w:t>substance over form)</w:t>
            </w:r>
            <w:r w:rsidR="00DA0CC1" w:rsidRPr="00DC1DE8">
              <w:rPr>
                <w:rFonts w:ascii="Arial" w:hAnsi="Arial" w:cs="Arial"/>
                <w:i/>
                <w:sz w:val="20"/>
                <w:szCs w:val="20"/>
                <w:lang w:val="fr-BE"/>
              </w:rPr>
              <w:t> ;</w:t>
            </w:r>
          </w:p>
          <w:p w14:paraId="1358B914" w14:textId="77777777" w:rsidR="00D536A6" w:rsidRPr="00E071B1" w:rsidRDefault="00F45099" w:rsidP="00675ADF">
            <w:pPr>
              <w:pStyle w:val="ListParagraph"/>
              <w:numPr>
                <w:ilvl w:val="0"/>
                <w:numId w:val="25"/>
              </w:numPr>
              <w:spacing w:before="60" w:after="60" w:line="240" w:lineRule="auto"/>
              <w:contextualSpacing w:val="0"/>
              <w:jc w:val="both"/>
              <w:rPr>
                <w:rFonts w:ascii="Arial" w:hAnsi="Arial" w:cs="Arial"/>
                <w:sz w:val="20"/>
                <w:szCs w:val="20"/>
                <w:lang w:val="fr-BE"/>
              </w:rPr>
            </w:pPr>
            <w:r>
              <w:rPr>
                <w:rFonts w:ascii="Arial" w:hAnsi="Arial" w:cs="Arial"/>
                <w:sz w:val="20"/>
                <w:szCs w:val="20"/>
                <w:lang w:val="fr-BE"/>
              </w:rPr>
              <w:t>résultats manifestement défavorables</w:t>
            </w:r>
            <w:r w:rsidR="00DA0CC1">
              <w:rPr>
                <w:rFonts w:ascii="Arial" w:hAnsi="Arial" w:cs="Arial"/>
                <w:sz w:val="20"/>
                <w:szCs w:val="20"/>
                <w:lang w:val="fr-BE"/>
              </w:rPr>
              <w:t>.</w:t>
            </w:r>
          </w:p>
        </w:tc>
        <w:tc>
          <w:tcPr>
            <w:tcW w:w="851" w:type="dxa"/>
            <w:vAlign w:val="center"/>
          </w:tcPr>
          <w:p w14:paraId="1358B915"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tcPr>
          <w:p w14:paraId="1358B916" w14:textId="77777777" w:rsidR="00F45099" w:rsidRDefault="00F45099" w:rsidP="0093302C">
            <w:pPr>
              <w:spacing w:before="60" w:after="60" w:line="240" w:lineRule="auto"/>
              <w:rPr>
                <w:rFonts w:ascii="Arial" w:hAnsi="Arial" w:cs="Arial"/>
                <w:sz w:val="20"/>
                <w:szCs w:val="20"/>
                <w:lang w:val="fr-BE"/>
              </w:rPr>
            </w:pPr>
          </w:p>
          <w:p w14:paraId="1358B917" w14:textId="77777777" w:rsidR="00F45099" w:rsidRDefault="00F45099" w:rsidP="0093302C">
            <w:pPr>
              <w:spacing w:before="60" w:after="60" w:line="240" w:lineRule="auto"/>
              <w:rPr>
                <w:rFonts w:ascii="Arial" w:hAnsi="Arial" w:cs="Arial"/>
                <w:sz w:val="20"/>
                <w:szCs w:val="20"/>
                <w:lang w:val="fr-BE"/>
              </w:rPr>
            </w:pPr>
          </w:p>
          <w:p w14:paraId="1358B918" w14:textId="77777777" w:rsidR="00F45099" w:rsidRDefault="00F45099" w:rsidP="0093302C">
            <w:pPr>
              <w:spacing w:before="60" w:after="60" w:line="240" w:lineRule="auto"/>
              <w:rPr>
                <w:rFonts w:ascii="Arial" w:hAnsi="Arial" w:cs="Arial"/>
                <w:sz w:val="20"/>
                <w:szCs w:val="20"/>
                <w:lang w:val="fr-BE"/>
              </w:rPr>
            </w:pPr>
          </w:p>
          <w:p w14:paraId="1358B919" w14:textId="77777777" w:rsidR="00F45099" w:rsidRDefault="00F45099" w:rsidP="0093302C">
            <w:pPr>
              <w:spacing w:before="60" w:after="60" w:line="240" w:lineRule="auto"/>
              <w:rPr>
                <w:rFonts w:ascii="Arial" w:hAnsi="Arial" w:cs="Arial"/>
                <w:sz w:val="20"/>
                <w:szCs w:val="20"/>
                <w:lang w:val="fr-BE"/>
              </w:rPr>
            </w:pPr>
          </w:p>
          <w:p w14:paraId="1358B91A" w14:textId="77777777" w:rsidR="00F45099" w:rsidRPr="00DC205F" w:rsidRDefault="00F45099" w:rsidP="0093302C">
            <w:pPr>
              <w:spacing w:before="60" w:after="60" w:line="240" w:lineRule="auto"/>
              <w:rPr>
                <w:rFonts w:ascii="Arial" w:hAnsi="Arial" w:cs="Arial"/>
                <w:sz w:val="20"/>
                <w:szCs w:val="20"/>
                <w:lang w:val="fr-BE"/>
              </w:rPr>
            </w:pPr>
          </w:p>
        </w:tc>
      </w:tr>
      <w:tr w:rsidR="00F45099" w:rsidRPr="00B33FA4" w14:paraId="1358B91F" w14:textId="77777777" w:rsidTr="00FD157F">
        <w:trPr>
          <w:trHeight w:val="416"/>
        </w:trPr>
        <w:tc>
          <w:tcPr>
            <w:tcW w:w="6237" w:type="dxa"/>
            <w:shd w:val="clear" w:color="auto" w:fill="D9D9D9"/>
          </w:tcPr>
          <w:p w14:paraId="1358B91C" w14:textId="77777777" w:rsidR="00F45099" w:rsidRPr="00DC205F" w:rsidRDefault="00F45099" w:rsidP="0042537F">
            <w:pPr>
              <w:pStyle w:val="ListParagraph"/>
              <w:numPr>
                <w:ilvl w:val="0"/>
                <w:numId w:val="31"/>
              </w:numPr>
              <w:spacing w:before="60" w:after="60" w:line="240" w:lineRule="auto"/>
              <w:ind w:left="447" w:hanging="447"/>
              <w:contextualSpacing w:val="0"/>
              <w:rPr>
                <w:rFonts w:ascii="Arial" w:hAnsi="Arial" w:cs="Arial"/>
                <w:b/>
                <w:sz w:val="20"/>
                <w:szCs w:val="20"/>
                <w:lang w:val="fr-BE"/>
              </w:rPr>
            </w:pPr>
            <w:r w:rsidRPr="00DC205F">
              <w:rPr>
                <w:rFonts w:ascii="Arial" w:hAnsi="Arial" w:cs="Arial"/>
                <w:b/>
                <w:sz w:val="20"/>
                <w:szCs w:val="20"/>
                <w:lang w:val="fr-BE"/>
              </w:rPr>
              <w:t xml:space="preserve">Transactions non enregistrées </w:t>
            </w:r>
          </w:p>
        </w:tc>
        <w:tc>
          <w:tcPr>
            <w:tcW w:w="851" w:type="dxa"/>
            <w:shd w:val="clear" w:color="auto" w:fill="FFFFFF" w:themeFill="background1"/>
            <w:vAlign w:val="center"/>
          </w:tcPr>
          <w:p w14:paraId="1358B91D"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shd w:val="clear" w:color="auto" w:fill="FFFFFF" w:themeFill="background1"/>
            <w:vAlign w:val="center"/>
          </w:tcPr>
          <w:p w14:paraId="1358B91E"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27" w14:textId="77777777" w:rsidTr="00FD157F">
        <w:trPr>
          <w:trHeight w:val="240"/>
        </w:trPr>
        <w:tc>
          <w:tcPr>
            <w:tcW w:w="6237" w:type="dxa"/>
          </w:tcPr>
          <w:p w14:paraId="1358B920" w14:textId="77777777" w:rsidR="00F45099" w:rsidRPr="00DC205F" w:rsidRDefault="00F45099" w:rsidP="00DC205F">
            <w:pPr>
              <w:spacing w:before="60" w:after="60" w:line="240" w:lineRule="auto"/>
              <w:rPr>
                <w:rFonts w:ascii="Arial" w:hAnsi="Arial" w:cs="Arial"/>
                <w:sz w:val="20"/>
                <w:szCs w:val="20"/>
                <w:lang w:val="fr-BE"/>
              </w:rPr>
            </w:pPr>
            <w:r w:rsidRPr="00DC205F">
              <w:rPr>
                <w:rFonts w:ascii="Arial" w:hAnsi="Arial" w:cs="Arial"/>
                <w:sz w:val="20"/>
                <w:szCs w:val="20"/>
                <w:lang w:val="fr-BE"/>
              </w:rPr>
              <w:t xml:space="preserve">Examiner les informations </w:t>
            </w:r>
            <w:r>
              <w:rPr>
                <w:rFonts w:ascii="Arial" w:hAnsi="Arial" w:cs="Arial"/>
                <w:sz w:val="20"/>
                <w:szCs w:val="20"/>
                <w:lang w:val="fr-BE"/>
              </w:rPr>
              <w:t>auprès du personnel-</w:t>
            </w:r>
            <w:r w:rsidRPr="00DC205F">
              <w:rPr>
                <w:rFonts w:ascii="Arial" w:hAnsi="Arial" w:cs="Arial"/>
                <w:sz w:val="20"/>
                <w:szCs w:val="20"/>
                <w:lang w:val="fr-BE"/>
              </w:rPr>
              <w:t>clé afin de savoir s’ils ont connaissance</w:t>
            </w:r>
            <w:r>
              <w:rPr>
                <w:rFonts w:ascii="Arial" w:hAnsi="Arial" w:cs="Arial"/>
                <w:sz w:val="20"/>
                <w:szCs w:val="20"/>
                <w:lang w:val="fr-BE"/>
              </w:rPr>
              <w:t xml:space="preserve"> </w:t>
            </w:r>
            <w:r w:rsidRPr="00DC205F">
              <w:rPr>
                <w:rFonts w:ascii="Arial" w:hAnsi="Arial" w:cs="Arial"/>
                <w:sz w:val="20"/>
                <w:szCs w:val="20"/>
                <w:lang w:val="fr-BE"/>
              </w:rPr>
              <w:t>:</w:t>
            </w:r>
          </w:p>
          <w:p w14:paraId="1358B921" w14:textId="77777777" w:rsidR="00F45099" w:rsidRPr="00DC205F" w:rsidRDefault="00F45099" w:rsidP="00DA0CC1">
            <w:pPr>
              <w:pStyle w:val="ListParagraph"/>
              <w:numPr>
                <w:ilvl w:val="0"/>
                <w:numId w:val="35"/>
              </w:numPr>
              <w:spacing w:before="60" w:after="60" w:line="240" w:lineRule="auto"/>
              <w:ind w:left="333" w:hanging="333"/>
              <w:contextualSpacing w:val="0"/>
              <w:rPr>
                <w:rFonts w:ascii="Arial" w:hAnsi="Arial" w:cs="Arial"/>
                <w:sz w:val="20"/>
                <w:szCs w:val="20"/>
                <w:lang w:val="fr-BE"/>
              </w:rPr>
            </w:pPr>
            <w:r>
              <w:rPr>
                <w:rFonts w:ascii="Arial" w:hAnsi="Arial" w:cs="Arial"/>
                <w:sz w:val="20"/>
                <w:szCs w:val="20"/>
                <w:lang w:val="fr-BE"/>
              </w:rPr>
              <w:t>d</w:t>
            </w:r>
            <w:r w:rsidRPr="00DC205F">
              <w:rPr>
                <w:rFonts w:ascii="Arial" w:hAnsi="Arial" w:cs="Arial"/>
                <w:sz w:val="20"/>
                <w:szCs w:val="20"/>
                <w:lang w:val="fr-BE"/>
              </w:rPr>
              <w:t>e transactions ou d’accord</w:t>
            </w:r>
            <w:r>
              <w:rPr>
                <w:rFonts w:ascii="Arial" w:hAnsi="Arial" w:cs="Arial"/>
                <w:sz w:val="20"/>
                <w:szCs w:val="20"/>
                <w:lang w:val="fr-BE"/>
              </w:rPr>
              <w:t>s</w:t>
            </w:r>
            <w:r w:rsidRPr="00DC205F">
              <w:rPr>
                <w:rFonts w:ascii="Arial" w:hAnsi="Arial" w:cs="Arial"/>
                <w:sz w:val="20"/>
                <w:szCs w:val="20"/>
                <w:lang w:val="fr-BE"/>
              </w:rPr>
              <w:t xml:space="preserve"> (non encore identifiés) avec des parties liées</w:t>
            </w:r>
            <w:r w:rsidR="00DA0CC1">
              <w:rPr>
                <w:rFonts w:ascii="Arial" w:hAnsi="Arial" w:cs="Arial"/>
                <w:sz w:val="20"/>
                <w:szCs w:val="20"/>
                <w:lang w:val="fr-BE"/>
              </w:rPr>
              <w:t> ;</w:t>
            </w:r>
          </w:p>
          <w:p w14:paraId="1358B922" w14:textId="77777777" w:rsidR="00F45099" w:rsidRPr="00DC205F" w:rsidRDefault="00F45099" w:rsidP="00DA0CC1">
            <w:pPr>
              <w:pStyle w:val="ListParagraph"/>
              <w:numPr>
                <w:ilvl w:val="0"/>
                <w:numId w:val="35"/>
              </w:numPr>
              <w:spacing w:before="60" w:after="60" w:line="240" w:lineRule="auto"/>
              <w:ind w:left="333" w:hanging="333"/>
              <w:contextualSpacing w:val="0"/>
              <w:rPr>
                <w:rFonts w:ascii="Arial" w:hAnsi="Arial" w:cs="Arial"/>
                <w:sz w:val="20"/>
                <w:szCs w:val="20"/>
                <w:lang w:val="fr-BE"/>
              </w:rPr>
            </w:pPr>
            <w:r>
              <w:rPr>
                <w:rFonts w:ascii="Arial" w:hAnsi="Arial" w:cs="Arial"/>
                <w:sz w:val="20"/>
                <w:szCs w:val="20"/>
                <w:lang w:val="fr-BE"/>
              </w:rPr>
              <w:t>d</w:t>
            </w:r>
            <w:r w:rsidRPr="00DC205F">
              <w:rPr>
                <w:rFonts w:ascii="Arial" w:hAnsi="Arial" w:cs="Arial"/>
                <w:sz w:val="20"/>
                <w:szCs w:val="20"/>
                <w:lang w:val="fr-BE"/>
              </w:rPr>
              <w:t>e paiements (pots de vin) ou de conditions préférentielles non publiques</w:t>
            </w:r>
            <w:r w:rsidR="00DA0CC1">
              <w:rPr>
                <w:rFonts w:ascii="Arial" w:hAnsi="Arial" w:cs="Arial"/>
                <w:sz w:val="20"/>
                <w:szCs w:val="20"/>
                <w:lang w:val="fr-BE"/>
              </w:rPr>
              <w:t> ;</w:t>
            </w:r>
          </w:p>
          <w:p w14:paraId="1358B923" w14:textId="77777777" w:rsidR="00153B4B" w:rsidRDefault="00F45099" w:rsidP="00D536A6">
            <w:pPr>
              <w:pStyle w:val="ListParagraph"/>
              <w:numPr>
                <w:ilvl w:val="0"/>
                <w:numId w:val="35"/>
              </w:numPr>
              <w:spacing w:before="60" w:after="60" w:line="240" w:lineRule="auto"/>
              <w:ind w:left="333" w:hanging="333"/>
              <w:contextualSpacing w:val="0"/>
              <w:rPr>
                <w:rFonts w:ascii="Arial" w:hAnsi="Arial" w:cs="Arial"/>
                <w:sz w:val="20"/>
                <w:szCs w:val="20"/>
                <w:lang w:val="fr-BE"/>
              </w:rPr>
            </w:pPr>
            <w:r>
              <w:rPr>
                <w:rFonts w:ascii="Arial" w:hAnsi="Arial" w:cs="Arial"/>
                <w:sz w:val="20"/>
                <w:szCs w:val="20"/>
                <w:lang w:val="fr-BE"/>
              </w:rPr>
              <w:t>d</w:t>
            </w:r>
            <w:r w:rsidRPr="00DC205F">
              <w:rPr>
                <w:rFonts w:ascii="Arial" w:hAnsi="Arial" w:cs="Arial"/>
                <w:sz w:val="20"/>
                <w:szCs w:val="20"/>
                <w:lang w:val="fr-BE"/>
              </w:rPr>
              <w:t xml:space="preserve">e transactions ou des montants non enregistrés. </w:t>
            </w:r>
          </w:p>
          <w:p w14:paraId="1358B924" w14:textId="77777777" w:rsidR="00D536A6" w:rsidRPr="00153B4B" w:rsidRDefault="00D536A6" w:rsidP="00D536A6">
            <w:pPr>
              <w:pStyle w:val="ListParagraph"/>
              <w:spacing w:before="60" w:after="60" w:line="240" w:lineRule="auto"/>
              <w:ind w:left="333"/>
              <w:contextualSpacing w:val="0"/>
              <w:rPr>
                <w:rFonts w:ascii="Arial" w:hAnsi="Arial" w:cs="Arial"/>
                <w:sz w:val="20"/>
                <w:szCs w:val="20"/>
                <w:lang w:val="fr-BE"/>
              </w:rPr>
            </w:pPr>
          </w:p>
        </w:tc>
        <w:tc>
          <w:tcPr>
            <w:tcW w:w="851" w:type="dxa"/>
            <w:vAlign w:val="center"/>
          </w:tcPr>
          <w:p w14:paraId="1358B925"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vAlign w:val="center"/>
          </w:tcPr>
          <w:p w14:paraId="1358B926"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B33FA4" w14:paraId="1358B92B" w14:textId="77777777" w:rsidTr="00FD157F">
        <w:trPr>
          <w:trHeight w:val="419"/>
        </w:trPr>
        <w:tc>
          <w:tcPr>
            <w:tcW w:w="6237" w:type="dxa"/>
            <w:shd w:val="clear" w:color="auto" w:fill="D9D9D9"/>
          </w:tcPr>
          <w:p w14:paraId="1358B928" w14:textId="77777777" w:rsidR="00F45099" w:rsidRPr="00DC205F" w:rsidRDefault="00F45099" w:rsidP="0042537F">
            <w:pPr>
              <w:pStyle w:val="ListParagraph"/>
              <w:numPr>
                <w:ilvl w:val="0"/>
                <w:numId w:val="31"/>
              </w:numPr>
              <w:spacing w:before="60" w:after="60" w:line="240" w:lineRule="auto"/>
              <w:ind w:left="447" w:hanging="447"/>
              <w:contextualSpacing w:val="0"/>
              <w:rPr>
                <w:rFonts w:ascii="Arial" w:hAnsi="Arial" w:cs="Arial"/>
                <w:sz w:val="20"/>
                <w:szCs w:val="20"/>
                <w:lang w:val="fr-BE"/>
              </w:rPr>
            </w:pPr>
            <w:r w:rsidRPr="00DC205F">
              <w:rPr>
                <w:rFonts w:ascii="Arial" w:hAnsi="Arial" w:cs="Arial"/>
                <w:b/>
                <w:bCs/>
                <w:sz w:val="20"/>
                <w:szCs w:val="20"/>
                <w:lang w:val="fr-BE"/>
              </w:rPr>
              <w:t>Traitement comptable</w:t>
            </w:r>
          </w:p>
        </w:tc>
        <w:tc>
          <w:tcPr>
            <w:tcW w:w="851" w:type="dxa"/>
            <w:tcBorders>
              <w:top w:val="outset" w:sz="6" w:space="0" w:color="auto"/>
              <w:bottom w:val="outset" w:sz="6" w:space="0" w:color="auto"/>
            </w:tcBorders>
            <w:shd w:val="clear" w:color="auto" w:fill="FFFFFF"/>
            <w:vAlign w:val="center"/>
          </w:tcPr>
          <w:p w14:paraId="1358B929"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EA</w:t>
            </w:r>
          </w:p>
        </w:tc>
        <w:tc>
          <w:tcPr>
            <w:tcW w:w="6662" w:type="dxa"/>
            <w:shd w:val="clear" w:color="auto" w:fill="FFFFFF"/>
            <w:vAlign w:val="center"/>
          </w:tcPr>
          <w:p w14:paraId="1358B92A"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30" w14:textId="77777777" w:rsidTr="00FD157F">
        <w:trPr>
          <w:trHeight w:val="825"/>
        </w:trPr>
        <w:tc>
          <w:tcPr>
            <w:tcW w:w="6237" w:type="dxa"/>
          </w:tcPr>
          <w:p w14:paraId="1358B92C" w14:textId="77777777" w:rsidR="00D536A6" w:rsidRDefault="00F45099" w:rsidP="00D536A6">
            <w:pPr>
              <w:spacing w:before="60" w:after="60" w:line="240" w:lineRule="auto"/>
              <w:jc w:val="both"/>
              <w:rPr>
                <w:rFonts w:ascii="Arial" w:hAnsi="Arial" w:cs="Arial"/>
                <w:sz w:val="20"/>
                <w:szCs w:val="20"/>
                <w:lang w:val="fr-BE"/>
              </w:rPr>
            </w:pPr>
            <w:r w:rsidRPr="00DC205F">
              <w:rPr>
                <w:rFonts w:ascii="Arial" w:hAnsi="Arial" w:cs="Arial"/>
                <w:sz w:val="20"/>
                <w:szCs w:val="20"/>
                <w:lang w:val="fr-BE"/>
              </w:rPr>
              <w:lastRenderedPageBreak/>
              <w:t>Vérifier la nature et la portée des transactions entre parties liées et déterminer si elles ont été reprises et publiées conformément au référentiel comptable applicable</w:t>
            </w:r>
            <w:r>
              <w:rPr>
                <w:rFonts w:ascii="Arial" w:hAnsi="Arial" w:cs="Arial"/>
                <w:sz w:val="20"/>
                <w:szCs w:val="20"/>
                <w:lang w:val="fr-BE"/>
              </w:rPr>
              <w:t>.</w:t>
            </w:r>
          </w:p>
          <w:p w14:paraId="1358B92D" w14:textId="77777777" w:rsidR="00D536A6" w:rsidRPr="00DC205F" w:rsidRDefault="00D536A6" w:rsidP="00D536A6">
            <w:pPr>
              <w:spacing w:before="60" w:after="60" w:line="240" w:lineRule="auto"/>
              <w:jc w:val="both"/>
              <w:rPr>
                <w:rFonts w:ascii="Arial" w:hAnsi="Arial" w:cs="Arial"/>
                <w:sz w:val="20"/>
                <w:szCs w:val="20"/>
                <w:lang w:val="fr-BE"/>
              </w:rPr>
            </w:pPr>
          </w:p>
        </w:tc>
        <w:tc>
          <w:tcPr>
            <w:tcW w:w="851" w:type="dxa"/>
            <w:vAlign w:val="center"/>
          </w:tcPr>
          <w:p w14:paraId="1358B92E"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vAlign w:val="center"/>
          </w:tcPr>
          <w:p w14:paraId="1358B92F"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34" w14:textId="77777777" w:rsidTr="00FD157F">
        <w:trPr>
          <w:trHeight w:val="300"/>
        </w:trPr>
        <w:tc>
          <w:tcPr>
            <w:tcW w:w="6237" w:type="dxa"/>
            <w:shd w:val="clear" w:color="auto" w:fill="D9D9D9"/>
            <w:noWrap/>
            <w:vAlign w:val="bottom"/>
          </w:tcPr>
          <w:p w14:paraId="1358B931" w14:textId="77777777" w:rsidR="00F45099" w:rsidRPr="00DC205F" w:rsidRDefault="00F45099" w:rsidP="0042537F">
            <w:pPr>
              <w:pStyle w:val="ListParagraph"/>
              <w:numPr>
                <w:ilvl w:val="0"/>
                <w:numId w:val="31"/>
              </w:numPr>
              <w:spacing w:before="60" w:after="60" w:line="240" w:lineRule="auto"/>
              <w:ind w:left="447" w:hanging="447"/>
              <w:contextualSpacing w:val="0"/>
              <w:rPr>
                <w:rFonts w:ascii="Arial" w:hAnsi="Arial" w:cs="Arial"/>
                <w:b/>
                <w:bCs/>
                <w:sz w:val="20"/>
                <w:szCs w:val="20"/>
                <w:lang w:val="fr-BE"/>
              </w:rPr>
            </w:pPr>
            <w:bookmarkStart w:id="0" w:name="RANGE!A58"/>
            <w:bookmarkEnd w:id="0"/>
            <w:r w:rsidRPr="00DC205F">
              <w:rPr>
                <w:rFonts w:ascii="Arial" w:hAnsi="Arial" w:cs="Arial"/>
                <w:b/>
                <w:bCs/>
                <w:sz w:val="20"/>
                <w:szCs w:val="20"/>
                <w:lang w:val="fr-BE"/>
              </w:rPr>
              <w:t xml:space="preserve">Examen des transactions entre parties liées identifiées </w:t>
            </w:r>
          </w:p>
        </w:tc>
        <w:tc>
          <w:tcPr>
            <w:tcW w:w="851" w:type="dxa"/>
          </w:tcPr>
          <w:p w14:paraId="1358B932"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tcPr>
          <w:p w14:paraId="1358B933"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49" w14:textId="77777777" w:rsidTr="00FD157F">
        <w:trPr>
          <w:trHeight w:val="3384"/>
        </w:trPr>
        <w:tc>
          <w:tcPr>
            <w:tcW w:w="6237" w:type="dxa"/>
            <w:noWrap/>
            <w:vAlign w:val="bottom"/>
          </w:tcPr>
          <w:p w14:paraId="1358B935" w14:textId="77777777" w:rsidR="00F45099" w:rsidRPr="00DC205F" w:rsidRDefault="00D536A6" w:rsidP="00153B4B">
            <w:pPr>
              <w:spacing w:before="60" w:after="60" w:line="240" w:lineRule="auto"/>
              <w:jc w:val="both"/>
              <w:rPr>
                <w:rFonts w:ascii="Arial" w:hAnsi="Arial" w:cs="Arial"/>
                <w:sz w:val="20"/>
                <w:szCs w:val="20"/>
                <w:lang w:val="fr-BE"/>
              </w:rPr>
            </w:pPr>
            <w:r w:rsidRPr="00D12B58">
              <w:rPr>
                <w:lang w:val="fr-BE"/>
              </w:rPr>
              <w:br w:type="page"/>
            </w:r>
            <w:r w:rsidR="00F45099" w:rsidRPr="00DC205F">
              <w:rPr>
                <w:rFonts w:ascii="Arial" w:hAnsi="Arial" w:cs="Arial"/>
                <w:sz w:val="20"/>
                <w:szCs w:val="20"/>
                <w:lang w:val="fr-BE"/>
              </w:rPr>
              <w:t>Après l’identification de transactions entre parties liées, les procédures d’audit nécessaires doivent être effectuées afin d’obtenir des éléments probants suffisants et appropriés sur le fait de savoir si les transactions ont été correctement enregistrées et publiées dans les comptes annuels.</w:t>
            </w:r>
          </w:p>
          <w:p w14:paraId="1358B936" w14:textId="77777777" w:rsidR="00F45099" w:rsidRPr="00DC205F" w:rsidRDefault="00F45099" w:rsidP="00153B4B">
            <w:pPr>
              <w:spacing w:before="60" w:after="60" w:line="240" w:lineRule="auto"/>
              <w:jc w:val="both"/>
              <w:rPr>
                <w:rFonts w:ascii="Arial" w:hAnsi="Arial" w:cs="Arial"/>
                <w:sz w:val="20"/>
                <w:szCs w:val="20"/>
                <w:lang w:val="fr-BE"/>
              </w:rPr>
            </w:pPr>
            <w:r w:rsidRPr="00DC205F">
              <w:rPr>
                <w:rFonts w:ascii="Arial" w:hAnsi="Arial" w:cs="Arial"/>
                <w:sz w:val="20"/>
                <w:szCs w:val="20"/>
                <w:lang w:val="fr-BE"/>
              </w:rPr>
              <w:t xml:space="preserve">Ces procédures d’audit peuvent consister en : </w:t>
            </w:r>
          </w:p>
          <w:p w14:paraId="1358B937" w14:textId="77777777" w:rsidR="00F45099" w:rsidRPr="00DC205F" w:rsidRDefault="00F45099" w:rsidP="00153B4B">
            <w:pPr>
              <w:pStyle w:val="ListParagraph"/>
              <w:numPr>
                <w:ilvl w:val="0"/>
                <w:numId w:val="19"/>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l’obtention de la connaissance de l’objectif commercial de la transaction. Selon les circonstances, ceci peut être réalisé via les procédures d’audit suivantes :</w:t>
            </w:r>
          </w:p>
          <w:p w14:paraId="1358B938" w14:textId="77777777" w:rsidR="00F45099" w:rsidRPr="00DC205F" w:rsidRDefault="00F45099" w:rsidP="00153B4B">
            <w:pPr>
              <w:pStyle w:val="ListParagraph"/>
              <w:numPr>
                <w:ilvl w:val="0"/>
                <w:numId w:val="36"/>
              </w:numPr>
              <w:spacing w:before="60" w:after="60" w:line="240" w:lineRule="auto"/>
              <w:ind w:left="758" w:hanging="425"/>
              <w:contextualSpacing w:val="0"/>
              <w:jc w:val="both"/>
              <w:rPr>
                <w:rFonts w:ascii="Arial" w:hAnsi="Arial" w:cs="Arial"/>
                <w:sz w:val="20"/>
                <w:szCs w:val="20"/>
                <w:lang w:val="fr-BE"/>
              </w:rPr>
            </w:pPr>
            <w:r w:rsidRPr="00DC205F">
              <w:rPr>
                <w:rFonts w:ascii="Arial" w:hAnsi="Arial" w:cs="Arial"/>
                <w:sz w:val="20"/>
                <w:szCs w:val="20"/>
                <w:lang w:val="fr-BE"/>
              </w:rPr>
              <w:t>confirmation ou discussion des informations significatives avec les intermédiaires tell</w:t>
            </w:r>
            <w:r>
              <w:rPr>
                <w:rFonts w:ascii="Arial" w:hAnsi="Arial" w:cs="Arial"/>
                <w:sz w:val="20"/>
                <w:szCs w:val="20"/>
                <w:lang w:val="fr-BE"/>
              </w:rPr>
              <w:t>es que les banques, les avocats, etc.</w:t>
            </w:r>
            <w:r w:rsidRPr="00DC205F">
              <w:rPr>
                <w:rFonts w:ascii="Arial" w:hAnsi="Arial" w:cs="Arial"/>
                <w:sz w:val="20"/>
                <w:szCs w:val="20"/>
                <w:lang w:val="fr-BE"/>
              </w:rPr>
              <w:t> ;</w:t>
            </w:r>
          </w:p>
          <w:p w14:paraId="1358B939" w14:textId="77777777" w:rsidR="00F45099" w:rsidRPr="00DC205F" w:rsidRDefault="00F45099" w:rsidP="00153B4B">
            <w:pPr>
              <w:pStyle w:val="ListParagraph"/>
              <w:numPr>
                <w:ilvl w:val="0"/>
                <w:numId w:val="36"/>
              </w:numPr>
              <w:spacing w:before="60" w:after="60" w:line="240" w:lineRule="auto"/>
              <w:ind w:left="758" w:hanging="425"/>
              <w:contextualSpacing w:val="0"/>
              <w:jc w:val="both"/>
              <w:rPr>
                <w:rFonts w:ascii="Arial" w:hAnsi="Arial" w:cs="Arial"/>
                <w:sz w:val="20"/>
                <w:szCs w:val="20"/>
                <w:lang w:val="fr-BE"/>
              </w:rPr>
            </w:pPr>
            <w:r w:rsidRPr="00DC205F">
              <w:rPr>
                <w:rFonts w:ascii="Arial" w:hAnsi="Arial" w:cs="Arial"/>
                <w:sz w:val="20"/>
                <w:szCs w:val="20"/>
                <w:lang w:val="fr-BE"/>
              </w:rPr>
              <w:t>référence aux publications financières, journaux financiers, établissement</w:t>
            </w:r>
            <w:r>
              <w:rPr>
                <w:rFonts w:ascii="Arial" w:hAnsi="Arial" w:cs="Arial"/>
                <w:sz w:val="20"/>
                <w:szCs w:val="20"/>
                <w:lang w:val="fr-BE"/>
              </w:rPr>
              <w:t>s</w:t>
            </w:r>
            <w:r w:rsidRPr="00DC205F">
              <w:rPr>
                <w:rFonts w:ascii="Arial" w:hAnsi="Arial" w:cs="Arial"/>
                <w:sz w:val="20"/>
                <w:szCs w:val="20"/>
                <w:lang w:val="fr-BE"/>
              </w:rPr>
              <w:t xml:space="preserve"> de crédit et autres source</w:t>
            </w:r>
            <w:r>
              <w:rPr>
                <w:rFonts w:ascii="Arial" w:hAnsi="Arial" w:cs="Arial"/>
                <w:sz w:val="20"/>
                <w:szCs w:val="20"/>
                <w:lang w:val="fr-BE"/>
              </w:rPr>
              <w:t>s</w:t>
            </w:r>
            <w:r w:rsidRPr="00DC205F">
              <w:rPr>
                <w:rFonts w:ascii="Arial" w:hAnsi="Arial" w:cs="Arial"/>
                <w:sz w:val="20"/>
                <w:szCs w:val="20"/>
                <w:lang w:val="fr-BE"/>
              </w:rPr>
              <w:t xml:space="preserve"> d’informations s’il existe des raisons de croire qu’une transaction n’a pas d’intérêt économique suffisant</w:t>
            </w:r>
            <w:r>
              <w:rPr>
                <w:rFonts w:ascii="Arial" w:hAnsi="Arial" w:cs="Arial"/>
                <w:sz w:val="20"/>
                <w:szCs w:val="20"/>
                <w:lang w:val="fr-BE"/>
              </w:rPr>
              <w:t xml:space="preserve"> </w:t>
            </w:r>
            <w:r w:rsidRPr="00DC205F">
              <w:rPr>
                <w:rFonts w:ascii="Arial" w:hAnsi="Arial" w:cs="Arial"/>
                <w:sz w:val="20"/>
                <w:szCs w:val="20"/>
                <w:lang w:val="fr-BE"/>
              </w:rPr>
              <w:t xml:space="preserve">; </w:t>
            </w:r>
          </w:p>
          <w:p w14:paraId="1358B93A" w14:textId="77777777" w:rsidR="00F45099" w:rsidRPr="001671C6" w:rsidRDefault="00F45099" w:rsidP="00153B4B">
            <w:pPr>
              <w:pStyle w:val="ListParagraph"/>
              <w:numPr>
                <w:ilvl w:val="0"/>
                <w:numId w:val="36"/>
              </w:numPr>
              <w:spacing w:before="60" w:after="60" w:line="240" w:lineRule="auto"/>
              <w:ind w:left="758" w:hanging="425"/>
              <w:contextualSpacing w:val="0"/>
              <w:jc w:val="both"/>
              <w:rPr>
                <w:rFonts w:ascii="Arial" w:hAnsi="Arial" w:cs="Arial"/>
                <w:sz w:val="20"/>
                <w:szCs w:val="20"/>
                <w:lang w:val="fr-BE"/>
              </w:rPr>
            </w:pPr>
            <w:r w:rsidRPr="00DC205F">
              <w:rPr>
                <w:rFonts w:ascii="Arial" w:hAnsi="Arial" w:cs="Arial"/>
                <w:sz w:val="20"/>
                <w:szCs w:val="20"/>
                <w:lang w:val="fr-BE"/>
              </w:rPr>
              <w:t xml:space="preserve">confirmation du montant et des conditions des transactions, y compris des garanties et autres données significatives, avec d’autres parties ou avec les parties à la transaction + exécution de procédures alternatives appropriées en cas de non réponse ; </w:t>
            </w:r>
          </w:p>
          <w:p w14:paraId="1358B93B" w14:textId="77777777" w:rsidR="00F45099" w:rsidRPr="00153B4B" w:rsidRDefault="00F45099" w:rsidP="00153B4B">
            <w:pPr>
              <w:pStyle w:val="ListParagraph"/>
              <w:numPr>
                <w:ilvl w:val="0"/>
                <w:numId w:val="37"/>
              </w:numPr>
              <w:spacing w:before="60" w:after="60" w:line="240" w:lineRule="auto"/>
              <w:ind w:left="758"/>
              <w:jc w:val="both"/>
              <w:rPr>
                <w:rFonts w:ascii="Arial" w:hAnsi="Arial" w:cs="Arial"/>
                <w:sz w:val="20"/>
                <w:szCs w:val="20"/>
                <w:lang w:val="fr-BE"/>
              </w:rPr>
            </w:pPr>
            <w:r w:rsidRPr="00153B4B">
              <w:rPr>
                <w:rFonts w:ascii="Arial" w:hAnsi="Arial" w:cs="Arial"/>
                <w:sz w:val="20"/>
                <w:szCs w:val="20"/>
                <w:lang w:val="fr-BE"/>
              </w:rPr>
              <w:t xml:space="preserve">vérifier les informations en possession des autres parties à la transaction ; </w:t>
            </w:r>
          </w:p>
          <w:p w14:paraId="1358B93C" w14:textId="77777777" w:rsidR="00F45099" w:rsidRDefault="00F45099" w:rsidP="007F651B">
            <w:pPr>
              <w:pStyle w:val="ListParagraph"/>
              <w:numPr>
                <w:ilvl w:val="0"/>
                <w:numId w:val="37"/>
              </w:numPr>
              <w:spacing w:before="120" w:after="60" w:line="240" w:lineRule="auto"/>
              <w:ind w:left="758"/>
              <w:jc w:val="both"/>
              <w:rPr>
                <w:rFonts w:ascii="Arial" w:hAnsi="Arial" w:cs="Arial"/>
                <w:sz w:val="20"/>
                <w:szCs w:val="20"/>
                <w:lang w:val="fr-BE"/>
              </w:rPr>
            </w:pPr>
            <w:r w:rsidRPr="00153B4B">
              <w:rPr>
                <w:rFonts w:ascii="Arial" w:hAnsi="Arial" w:cs="Arial"/>
                <w:sz w:val="20"/>
                <w:szCs w:val="20"/>
                <w:lang w:val="fr-BE"/>
              </w:rPr>
              <w:t>concernant les soldes irrécouvrables significatifs, garanties et autres obligations, obtention d’information sur le patrimoine financier des a</w:t>
            </w:r>
            <w:r w:rsidR="003D096C">
              <w:rPr>
                <w:rFonts w:ascii="Arial" w:hAnsi="Arial" w:cs="Arial"/>
                <w:sz w:val="20"/>
                <w:szCs w:val="20"/>
                <w:lang w:val="fr-BE"/>
              </w:rPr>
              <w:t>utres parties à la transaction ;</w:t>
            </w:r>
          </w:p>
          <w:p w14:paraId="1358B93D" w14:textId="77777777" w:rsidR="00F45099" w:rsidRPr="00DC205F" w:rsidRDefault="00F45099" w:rsidP="007F651B">
            <w:pPr>
              <w:pStyle w:val="ListParagraph"/>
              <w:numPr>
                <w:ilvl w:val="0"/>
                <w:numId w:val="19"/>
              </w:numPr>
              <w:spacing w:before="120" w:after="60" w:line="240" w:lineRule="auto"/>
              <w:ind w:left="357" w:hanging="357"/>
              <w:contextualSpacing w:val="0"/>
              <w:jc w:val="both"/>
              <w:rPr>
                <w:rFonts w:ascii="Arial" w:hAnsi="Arial" w:cs="Arial"/>
                <w:sz w:val="20"/>
                <w:szCs w:val="20"/>
                <w:lang w:val="fr-BE"/>
              </w:rPr>
            </w:pPr>
            <w:r w:rsidRPr="00DC205F">
              <w:rPr>
                <w:rFonts w:ascii="Arial" w:hAnsi="Arial" w:cs="Arial"/>
                <w:sz w:val="20"/>
                <w:szCs w:val="20"/>
                <w:lang w:val="fr-BE"/>
              </w:rPr>
              <w:lastRenderedPageBreak/>
              <w:t>vérification des factures, copies des accords passés, contrats et autres documents pertinents tels que les rapports reçus afin de déterminer si la transaction est significative ;</w:t>
            </w:r>
          </w:p>
          <w:p w14:paraId="1358B93E" w14:textId="77777777" w:rsidR="00F45099" w:rsidRDefault="00F45099" w:rsidP="007F651B">
            <w:pPr>
              <w:pStyle w:val="ListParagraph"/>
              <w:numPr>
                <w:ilvl w:val="0"/>
                <w:numId w:val="19"/>
              </w:numPr>
              <w:spacing w:before="60" w:after="60" w:line="240" w:lineRule="auto"/>
              <w:ind w:left="357" w:hanging="357"/>
              <w:contextualSpacing w:val="0"/>
              <w:jc w:val="both"/>
              <w:rPr>
                <w:rFonts w:ascii="Arial" w:hAnsi="Arial" w:cs="Arial"/>
                <w:sz w:val="20"/>
                <w:szCs w:val="20"/>
                <w:lang w:val="fr-BE"/>
              </w:rPr>
            </w:pPr>
            <w:r w:rsidRPr="00DC205F">
              <w:rPr>
                <w:rFonts w:ascii="Arial" w:hAnsi="Arial" w:cs="Arial"/>
                <w:sz w:val="20"/>
                <w:szCs w:val="20"/>
                <w:lang w:val="fr-BE"/>
              </w:rPr>
              <w:t xml:space="preserve">déterminer si la transaction doit faire l’objet d’une approbation spécifique de l’organe de gestion ou de tout autre personne appropriée, et si tel est le cas, que la transaction a bien été approuvée ; </w:t>
            </w:r>
          </w:p>
          <w:p w14:paraId="1358B93F" w14:textId="77777777" w:rsidR="00D536A6" w:rsidRPr="00D536A6" w:rsidRDefault="00D536A6" w:rsidP="00D536A6">
            <w:pPr>
              <w:spacing w:before="60" w:after="60" w:line="240" w:lineRule="auto"/>
              <w:jc w:val="both"/>
              <w:rPr>
                <w:rFonts w:ascii="Arial" w:hAnsi="Arial" w:cs="Arial"/>
                <w:sz w:val="20"/>
                <w:szCs w:val="20"/>
                <w:lang w:val="fr-BE"/>
              </w:rPr>
            </w:pPr>
          </w:p>
          <w:p w14:paraId="1358B940" w14:textId="77777777" w:rsidR="00F45099" w:rsidRPr="00DC205F" w:rsidRDefault="00F45099" w:rsidP="00153B4B">
            <w:pPr>
              <w:pStyle w:val="ListParagraph"/>
              <w:numPr>
                <w:ilvl w:val="0"/>
                <w:numId w:val="19"/>
              </w:numPr>
              <w:spacing w:before="60" w:after="60" w:line="240" w:lineRule="auto"/>
              <w:ind w:left="357" w:hanging="357"/>
              <w:contextualSpacing w:val="0"/>
              <w:jc w:val="both"/>
              <w:rPr>
                <w:rFonts w:ascii="Arial" w:hAnsi="Arial" w:cs="Arial"/>
                <w:sz w:val="20"/>
                <w:szCs w:val="20"/>
                <w:lang w:val="fr-BE"/>
              </w:rPr>
            </w:pPr>
            <w:r w:rsidRPr="00DC205F">
              <w:rPr>
                <w:rFonts w:ascii="Arial" w:hAnsi="Arial" w:cs="Arial"/>
                <w:sz w:val="20"/>
                <w:szCs w:val="20"/>
                <w:lang w:val="fr-BE"/>
              </w:rPr>
              <w:t xml:space="preserve">examiner les transactions significatives qui ne relèvent pas des activités ordinaires; les transactions </w:t>
            </w:r>
            <w:r>
              <w:rPr>
                <w:rFonts w:ascii="Arial" w:hAnsi="Arial" w:cs="Arial"/>
                <w:sz w:val="20"/>
                <w:szCs w:val="20"/>
                <w:lang w:val="fr-BE"/>
              </w:rPr>
              <w:t xml:space="preserve">comportant </w:t>
            </w:r>
            <w:r w:rsidRPr="00DC205F">
              <w:rPr>
                <w:rFonts w:ascii="Arial" w:hAnsi="Arial" w:cs="Arial"/>
                <w:sz w:val="20"/>
                <w:szCs w:val="20"/>
                <w:lang w:val="fr-BE"/>
              </w:rPr>
              <w:t xml:space="preserve">un transfert d’actif </w:t>
            </w:r>
            <w:r>
              <w:rPr>
                <w:rFonts w:ascii="Arial" w:hAnsi="Arial" w:cs="Arial"/>
                <w:sz w:val="20"/>
                <w:szCs w:val="20"/>
                <w:lang w:val="fr-BE"/>
              </w:rPr>
              <w:t>à</w:t>
            </w:r>
            <w:r w:rsidRPr="00DC205F">
              <w:rPr>
                <w:rFonts w:ascii="Arial" w:hAnsi="Arial" w:cs="Arial"/>
                <w:sz w:val="20"/>
                <w:szCs w:val="20"/>
                <w:lang w:val="fr-BE"/>
              </w:rPr>
              <w:t xml:space="preserve"> une valeur</w:t>
            </w:r>
            <w:r>
              <w:rPr>
                <w:rFonts w:ascii="Arial" w:hAnsi="Arial" w:cs="Arial"/>
                <w:sz w:val="20"/>
                <w:szCs w:val="20"/>
                <w:lang w:val="fr-BE"/>
              </w:rPr>
              <w:t xml:space="preserve"> anormale</w:t>
            </w:r>
            <w:r w:rsidRPr="00DC205F">
              <w:rPr>
                <w:rFonts w:ascii="Arial" w:hAnsi="Arial" w:cs="Arial"/>
                <w:sz w:val="20"/>
                <w:szCs w:val="20"/>
                <w:lang w:val="fr-BE"/>
              </w:rPr>
              <w:t xml:space="preserve"> doivent être examinées afin de déterminer si elles ont un intérêt économique</w:t>
            </w:r>
            <w:r>
              <w:rPr>
                <w:rFonts w:ascii="Arial" w:hAnsi="Arial" w:cs="Arial"/>
                <w:sz w:val="20"/>
                <w:szCs w:val="20"/>
                <w:lang w:val="fr-BE"/>
              </w:rPr>
              <w:t xml:space="preserve"> </w:t>
            </w:r>
            <w:r w:rsidRPr="00DC205F">
              <w:rPr>
                <w:rFonts w:ascii="Arial" w:hAnsi="Arial" w:cs="Arial"/>
                <w:sz w:val="20"/>
                <w:szCs w:val="20"/>
                <w:lang w:val="fr-BE"/>
              </w:rPr>
              <w:t>;</w:t>
            </w:r>
          </w:p>
          <w:p w14:paraId="1358B941" w14:textId="77777777" w:rsidR="00F45099" w:rsidRPr="00DC205F" w:rsidRDefault="00F45099" w:rsidP="00153B4B">
            <w:pPr>
              <w:pStyle w:val="ListParagraph"/>
              <w:numPr>
                <w:ilvl w:val="0"/>
                <w:numId w:val="19"/>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examiner ou confirmer et obtenir l’approbation relative</w:t>
            </w:r>
            <w:r w:rsidR="00153B4B">
              <w:rPr>
                <w:rFonts w:ascii="Arial" w:hAnsi="Arial" w:cs="Arial"/>
                <w:sz w:val="20"/>
                <w:szCs w:val="20"/>
                <w:lang w:val="fr-BE"/>
              </w:rPr>
              <w:t xml:space="preserve"> </w:t>
            </w:r>
            <w:r w:rsidRPr="00DC205F">
              <w:rPr>
                <w:rFonts w:ascii="Arial" w:hAnsi="Arial" w:cs="Arial"/>
                <w:sz w:val="20"/>
                <w:szCs w:val="20"/>
                <w:lang w:val="fr-BE"/>
              </w:rPr>
              <w:t>:</w:t>
            </w:r>
          </w:p>
          <w:p w14:paraId="1358B942" w14:textId="77777777" w:rsidR="00F45099" w:rsidRPr="00DC205F" w:rsidRDefault="00F45099" w:rsidP="00153B4B">
            <w:pPr>
              <w:pStyle w:val="ListParagraph"/>
              <w:numPr>
                <w:ilvl w:val="0"/>
                <w:numId w:val="38"/>
              </w:numPr>
              <w:spacing w:before="60" w:after="60" w:line="240" w:lineRule="auto"/>
              <w:ind w:left="616" w:hanging="283"/>
              <w:contextualSpacing w:val="0"/>
              <w:jc w:val="both"/>
              <w:rPr>
                <w:rFonts w:ascii="Arial" w:hAnsi="Arial" w:cs="Arial"/>
                <w:sz w:val="20"/>
                <w:szCs w:val="20"/>
                <w:lang w:val="fr-BE"/>
              </w:rPr>
            </w:pPr>
            <w:r w:rsidRPr="00DC205F">
              <w:rPr>
                <w:rFonts w:ascii="Arial" w:hAnsi="Arial" w:cs="Arial"/>
                <w:sz w:val="20"/>
                <w:szCs w:val="20"/>
                <w:lang w:val="fr-BE"/>
              </w:rPr>
              <w:t xml:space="preserve">au transfert et </w:t>
            </w:r>
            <w:r>
              <w:rPr>
                <w:rFonts w:ascii="Arial" w:hAnsi="Arial" w:cs="Arial"/>
                <w:sz w:val="20"/>
                <w:szCs w:val="20"/>
                <w:lang w:val="fr-BE"/>
              </w:rPr>
              <w:t xml:space="preserve">à la </w:t>
            </w:r>
            <w:r w:rsidRPr="00DC205F">
              <w:rPr>
                <w:rFonts w:ascii="Arial" w:hAnsi="Arial" w:cs="Arial"/>
                <w:sz w:val="20"/>
                <w:szCs w:val="20"/>
                <w:lang w:val="fr-BE"/>
              </w:rPr>
              <w:t xml:space="preserve">valeur des sûretés réelles ; et </w:t>
            </w:r>
          </w:p>
          <w:p w14:paraId="1358B943" w14:textId="77777777" w:rsidR="00F45099" w:rsidRPr="00DC205F" w:rsidRDefault="00F45099" w:rsidP="003D096C">
            <w:pPr>
              <w:pStyle w:val="ListParagraph"/>
              <w:numPr>
                <w:ilvl w:val="0"/>
                <w:numId w:val="38"/>
              </w:numPr>
              <w:spacing w:before="60" w:after="60" w:line="240" w:lineRule="auto"/>
              <w:ind w:left="616" w:hanging="283"/>
              <w:contextualSpacing w:val="0"/>
              <w:rPr>
                <w:rFonts w:ascii="Arial" w:hAnsi="Arial" w:cs="Arial"/>
                <w:sz w:val="20"/>
                <w:szCs w:val="20"/>
                <w:lang w:val="fr-BE"/>
              </w:rPr>
            </w:pPr>
            <w:r w:rsidRPr="00DC205F">
              <w:rPr>
                <w:rFonts w:ascii="Arial" w:hAnsi="Arial" w:cs="Arial"/>
                <w:sz w:val="20"/>
                <w:szCs w:val="20"/>
                <w:lang w:val="fr-BE"/>
              </w:rPr>
              <w:t>à la recouvr</w:t>
            </w:r>
            <w:r w:rsidR="003D096C">
              <w:rPr>
                <w:rFonts w:ascii="Arial" w:hAnsi="Arial" w:cs="Arial"/>
                <w:sz w:val="20"/>
                <w:szCs w:val="20"/>
                <w:lang w:val="fr-BE"/>
              </w:rPr>
              <w:t>abilité des créances et avances ;</w:t>
            </w:r>
          </w:p>
          <w:p w14:paraId="1358B944" w14:textId="77777777" w:rsidR="00F45099" w:rsidRPr="00DC205F" w:rsidRDefault="00F45099" w:rsidP="003D096C">
            <w:pPr>
              <w:pStyle w:val="ListParagraph"/>
              <w:numPr>
                <w:ilvl w:val="0"/>
                <w:numId w:val="19"/>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obtention de confirmations de</w:t>
            </w:r>
            <w:r>
              <w:rPr>
                <w:rFonts w:ascii="Arial" w:hAnsi="Arial" w:cs="Arial"/>
                <w:sz w:val="20"/>
                <w:szCs w:val="20"/>
                <w:lang w:val="fr-BE"/>
              </w:rPr>
              <w:t xml:space="preserve"> </w:t>
            </w:r>
            <w:r w:rsidRPr="00DC205F">
              <w:rPr>
                <w:rFonts w:ascii="Arial" w:hAnsi="Arial" w:cs="Arial"/>
                <w:sz w:val="20"/>
                <w:szCs w:val="20"/>
                <w:lang w:val="fr-BE"/>
              </w:rPr>
              <w:t xml:space="preserve">soldes avec les parties liées ; lorsque les comptes des parties liées sont contrôlés par un auditeur, confirmer les soldes et les transactions avec ces auditeurs </w:t>
            </w:r>
            <w:r>
              <w:rPr>
                <w:rFonts w:ascii="Arial" w:hAnsi="Arial" w:cs="Arial"/>
                <w:sz w:val="20"/>
                <w:szCs w:val="20"/>
                <w:lang w:val="fr-BE"/>
              </w:rPr>
              <w:t>(éventuellement intra-groupe) ;</w:t>
            </w:r>
          </w:p>
          <w:p w14:paraId="1358B945" w14:textId="77777777" w:rsidR="00E071B1" w:rsidRDefault="00F45099" w:rsidP="00FD157F">
            <w:pPr>
              <w:pStyle w:val="ListParagraph"/>
              <w:numPr>
                <w:ilvl w:val="0"/>
                <w:numId w:val="19"/>
              </w:numPr>
              <w:spacing w:before="60" w:after="60" w:line="240" w:lineRule="auto"/>
              <w:jc w:val="both"/>
              <w:rPr>
                <w:rFonts w:ascii="Arial" w:hAnsi="Arial" w:cs="Arial"/>
                <w:sz w:val="20"/>
                <w:szCs w:val="20"/>
                <w:lang w:val="fr-BE"/>
              </w:rPr>
            </w:pPr>
            <w:r w:rsidRPr="003D096C">
              <w:rPr>
                <w:rFonts w:ascii="Arial" w:hAnsi="Arial" w:cs="Arial"/>
                <w:sz w:val="20"/>
                <w:szCs w:val="20"/>
                <w:lang w:val="fr-BE"/>
              </w:rPr>
              <w:t xml:space="preserve">considérer si la nature et les montants des transactions avec les parties liées sont raisonnables à la lumière des exercices précédents et des connaissances de l’entité. </w:t>
            </w:r>
          </w:p>
          <w:p w14:paraId="1358B946" w14:textId="77777777" w:rsidR="00FD157F" w:rsidRPr="00E071B1" w:rsidRDefault="00FD157F" w:rsidP="00FD157F">
            <w:pPr>
              <w:pStyle w:val="ListParagraph"/>
              <w:spacing w:before="60" w:after="60" w:line="240" w:lineRule="auto"/>
              <w:ind w:left="360"/>
              <w:jc w:val="both"/>
              <w:rPr>
                <w:rFonts w:ascii="Arial" w:hAnsi="Arial" w:cs="Arial"/>
                <w:sz w:val="20"/>
                <w:szCs w:val="20"/>
                <w:lang w:val="fr-BE"/>
              </w:rPr>
            </w:pPr>
          </w:p>
        </w:tc>
        <w:tc>
          <w:tcPr>
            <w:tcW w:w="851" w:type="dxa"/>
          </w:tcPr>
          <w:p w14:paraId="1358B947"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tcPr>
          <w:p w14:paraId="1358B948"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B33FA4" w14:paraId="1358B94D" w14:textId="77777777" w:rsidTr="00FD157F">
        <w:trPr>
          <w:trHeight w:val="282"/>
        </w:trPr>
        <w:tc>
          <w:tcPr>
            <w:tcW w:w="6237" w:type="dxa"/>
            <w:shd w:val="clear" w:color="auto" w:fill="D9D9D9"/>
          </w:tcPr>
          <w:p w14:paraId="1358B94A" w14:textId="77777777" w:rsidR="00F45099" w:rsidRPr="00DC205F" w:rsidRDefault="00A64747" w:rsidP="003D096C">
            <w:pPr>
              <w:pStyle w:val="ListParagraph"/>
              <w:numPr>
                <w:ilvl w:val="0"/>
                <w:numId w:val="31"/>
              </w:numPr>
              <w:tabs>
                <w:tab w:val="clear" w:pos="720"/>
                <w:tab w:val="num" w:pos="474"/>
              </w:tabs>
              <w:spacing w:before="60" w:after="60" w:line="240" w:lineRule="auto"/>
              <w:ind w:left="758" w:hanging="758"/>
              <w:contextualSpacing w:val="0"/>
              <w:rPr>
                <w:rFonts w:ascii="Arial" w:hAnsi="Arial" w:cs="Arial"/>
                <w:b/>
                <w:bCs/>
                <w:sz w:val="20"/>
                <w:szCs w:val="20"/>
                <w:lang w:val="fr-BE"/>
              </w:rPr>
            </w:pPr>
            <w:r w:rsidRPr="004A2C7C">
              <w:rPr>
                <w:lang w:val="fr-BE"/>
              </w:rPr>
              <w:br w:type="page"/>
            </w:r>
            <w:r w:rsidR="00F45099" w:rsidRPr="00DC205F">
              <w:rPr>
                <w:rFonts w:ascii="Arial" w:hAnsi="Arial" w:cs="Arial"/>
                <w:b/>
                <w:bCs/>
                <w:sz w:val="20"/>
                <w:szCs w:val="20"/>
                <w:lang w:val="fr-BE"/>
              </w:rPr>
              <w:t xml:space="preserve">Irrégularités </w:t>
            </w:r>
          </w:p>
        </w:tc>
        <w:tc>
          <w:tcPr>
            <w:tcW w:w="851" w:type="dxa"/>
            <w:vMerge w:val="restart"/>
          </w:tcPr>
          <w:p w14:paraId="1358B94B"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CEAV</w:t>
            </w:r>
          </w:p>
        </w:tc>
        <w:tc>
          <w:tcPr>
            <w:tcW w:w="6662" w:type="dxa"/>
            <w:vMerge w:val="restart"/>
          </w:tcPr>
          <w:p w14:paraId="1358B94C"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57" w14:textId="77777777" w:rsidTr="00FD157F">
        <w:trPr>
          <w:trHeight w:val="3791"/>
        </w:trPr>
        <w:tc>
          <w:tcPr>
            <w:tcW w:w="6237" w:type="dxa"/>
          </w:tcPr>
          <w:p w14:paraId="1358B94E" w14:textId="77777777" w:rsidR="00F45099" w:rsidRPr="00DC205F" w:rsidRDefault="00F45099" w:rsidP="003D096C">
            <w:pPr>
              <w:spacing w:before="60" w:after="60" w:line="240" w:lineRule="auto"/>
              <w:jc w:val="both"/>
              <w:rPr>
                <w:rFonts w:ascii="Arial" w:hAnsi="Arial" w:cs="Arial"/>
                <w:sz w:val="20"/>
                <w:szCs w:val="20"/>
                <w:lang w:val="fr-BE"/>
              </w:rPr>
            </w:pPr>
            <w:r w:rsidRPr="00DC205F">
              <w:rPr>
                <w:rFonts w:ascii="Arial" w:hAnsi="Arial" w:cs="Arial"/>
                <w:sz w:val="20"/>
                <w:szCs w:val="20"/>
                <w:lang w:val="fr-BE"/>
              </w:rPr>
              <w:lastRenderedPageBreak/>
              <w:t>Si des éléments probants ont été identifiés relatifs à des irrégularités tel</w:t>
            </w:r>
            <w:r>
              <w:rPr>
                <w:rFonts w:ascii="Arial" w:hAnsi="Arial" w:cs="Arial"/>
                <w:sz w:val="20"/>
                <w:szCs w:val="20"/>
                <w:lang w:val="fr-BE"/>
              </w:rPr>
              <w:t>le</w:t>
            </w:r>
            <w:r w:rsidRPr="00DC205F">
              <w:rPr>
                <w:rFonts w:ascii="Arial" w:hAnsi="Arial" w:cs="Arial"/>
                <w:sz w:val="20"/>
                <w:szCs w:val="20"/>
                <w:lang w:val="fr-BE"/>
              </w:rPr>
              <w:t>s que des transactions délibérément dissimulées</w:t>
            </w:r>
            <w:r>
              <w:rPr>
                <w:rFonts w:ascii="Arial" w:hAnsi="Arial" w:cs="Arial"/>
                <w:sz w:val="20"/>
                <w:szCs w:val="20"/>
                <w:lang w:val="fr-BE"/>
              </w:rPr>
              <w:t xml:space="preserve"> </w:t>
            </w:r>
            <w:r w:rsidRPr="00DC205F">
              <w:rPr>
                <w:rFonts w:ascii="Arial" w:hAnsi="Arial" w:cs="Arial"/>
                <w:sz w:val="20"/>
                <w:szCs w:val="20"/>
                <w:lang w:val="fr-BE"/>
              </w:rPr>
              <w:t xml:space="preserve">: </w:t>
            </w:r>
          </w:p>
          <w:p w14:paraId="1358B94F" w14:textId="77777777" w:rsidR="00F45099" w:rsidRPr="00DC205F" w:rsidRDefault="00F45099" w:rsidP="003D096C">
            <w:pPr>
              <w:pStyle w:val="ListParagraph"/>
              <w:numPr>
                <w:ilvl w:val="0"/>
                <w:numId w:val="6"/>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documenter les éléments probants</w:t>
            </w:r>
            <w:r>
              <w:rPr>
                <w:rFonts w:ascii="Arial" w:hAnsi="Arial" w:cs="Arial"/>
                <w:sz w:val="20"/>
                <w:szCs w:val="20"/>
                <w:lang w:val="fr-BE"/>
              </w:rPr>
              <w:t xml:space="preserve"> </w:t>
            </w:r>
            <w:r w:rsidRPr="00DC205F">
              <w:rPr>
                <w:rFonts w:ascii="Arial" w:hAnsi="Arial" w:cs="Arial"/>
                <w:sz w:val="20"/>
                <w:szCs w:val="20"/>
                <w:lang w:val="fr-BE"/>
              </w:rPr>
              <w:t>;</w:t>
            </w:r>
          </w:p>
          <w:p w14:paraId="1358B950" w14:textId="77777777" w:rsidR="00F45099" w:rsidRPr="00DC205F" w:rsidRDefault="00F45099" w:rsidP="003D096C">
            <w:pPr>
              <w:pStyle w:val="ListParagraph"/>
              <w:numPr>
                <w:ilvl w:val="0"/>
                <w:numId w:val="6"/>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obtenir et documenter les explications de la direction</w:t>
            </w:r>
            <w:r>
              <w:rPr>
                <w:rFonts w:ascii="Arial" w:hAnsi="Arial" w:cs="Arial"/>
                <w:sz w:val="20"/>
                <w:szCs w:val="20"/>
                <w:lang w:val="fr-BE"/>
              </w:rPr>
              <w:t xml:space="preserve"> </w:t>
            </w:r>
            <w:r w:rsidRPr="00DC205F">
              <w:rPr>
                <w:rFonts w:ascii="Arial" w:hAnsi="Arial" w:cs="Arial"/>
                <w:sz w:val="20"/>
                <w:szCs w:val="20"/>
                <w:lang w:val="fr-BE"/>
              </w:rPr>
              <w:t>;</w:t>
            </w:r>
          </w:p>
          <w:p w14:paraId="1358B951" w14:textId="77777777" w:rsidR="00F45099" w:rsidRPr="00DC205F" w:rsidRDefault="00F45099" w:rsidP="003D096C">
            <w:pPr>
              <w:pStyle w:val="ListParagraph"/>
              <w:numPr>
                <w:ilvl w:val="0"/>
                <w:numId w:val="6"/>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contrôler les faits avec le personnel de l’entité qui est le plus souvent impliqué</w:t>
            </w:r>
            <w:r>
              <w:rPr>
                <w:rFonts w:ascii="Arial" w:hAnsi="Arial" w:cs="Arial"/>
                <w:sz w:val="20"/>
                <w:szCs w:val="20"/>
                <w:lang w:val="fr-BE"/>
              </w:rPr>
              <w:t xml:space="preserve"> </w:t>
            </w:r>
            <w:r w:rsidRPr="00DC205F">
              <w:rPr>
                <w:rFonts w:ascii="Arial" w:hAnsi="Arial" w:cs="Arial"/>
                <w:sz w:val="20"/>
                <w:szCs w:val="20"/>
                <w:lang w:val="fr-BE"/>
              </w:rPr>
              <w:t>;</w:t>
            </w:r>
          </w:p>
          <w:p w14:paraId="1358B952" w14:textId="77777777" w:rsidR="00F45099" w:rsidRPr="00DC205F" w:rsidRDefault="00F45099" w:rsidP="003D096C">
            <w:pPr>
              <w:pStyle w:val="ListParagraph"/>
              <w:numPr>
                <w:ilvl w:val="0"/>
                <w:numId w:val="6"/>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concevoir et effectuer les procédures d’audit complémentaires pour confirmer ou infirmer les éléments</w:t>
            </w:r>
            <w:r>
              <w:rPr>
                <w:rFonts w:ascii="Arial" w:hAnsi="Arial" w:cs="Arial"/>
                <w:sz w:val="20"/>
                <w:szCs w:val="20"/>
                <w:lang w:val="fr-BE"/>
              </w:rPr>
              <w:t xml:space="preserve"> </w:t>
            </w:r>
            <w:r w:rsidRPr="00DC205F">
              <w:rPr>
                <w:rFonts w:ascii="Arial" w:hAnsi="Arial" w:cs="Arial"/>
                <w:sz w:val="20"/>
                <w:szCs w:val="20"/>
                <w:lang w:val="fr-BE"/>
              </w:rPr>
              <w:t>;</w:t>
            </w:r>
          </w:p>
          <w:p w14:paraId="1358B953" w14:textId="77777777" w:rsidR="00F45099" w:rsidRPr="00DC205F" w:rsidRDefault="00F45099" w:rsidP="003D096C">
            <w:pPr>
              <w:pStyle w:val="ListParagraph"/>
              <w:numPr>
                <w:ilvl w:val="0"/>
                <w:numId w:val="6"/>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 xml:space="preserve">considérer s’il est nécessaire de faire rapport sur </w:t>
            </w:r>
            <w:r>
              <w:rPr>
                <w:rFonts w:ascii="Arial" w:hAnsi="Arial" w:cs="Arial"/>
                <w:sz w:val="20"/>
                <w:szCs w:val="20"/>
                <w:lang w:val="fr-BE"/>
              </w:rPr>
              <w:t xml:space="preserve">les constatations </w:t>
            </w:r>
            <w:r w:rsidRPr="00DC205F">
              <w:rPr>
                <w:rFonts w:ascii="Arial" w:hAnsi="Arial" w:cs="Arial"/>
                <w:sz w:val="20"/>
                <w:szCs w:val="20"/>
                <w:lang w:val="fr-BE"/>
              </w:rPr>
              <w:t>et</w:t>
            </w:r>
            <w:r>
              <w:rPr>
                <w:rFonts w:ascii="Arial" w:hAnsi="Arial" w:cs="Arial"/>
                <w:sz w:val="20"/>
                <w:szCs w:val="20"/>
                <w:lang w:val="fr-BE"/>
              </w:rPr>
              <w:t xml:space="preserve"> sur</w:t>
            </w:r>
            <w:r w:rsidRPr="00DC205F">
              <w:rPr>
                <w:rFonts w:ascii="Arial" w:hAnsi="Arial" w:cs="Arial"/>
                <w:sz w:val="20"/>
                <w:szCs w:val="20"/>
                <w:lang w:val="fr-BE"/>
              </w:rPr>
              <w:t xml:space="preserve"> les actions planifiées à ceux qui sont responsables de la gouvernance d’entreprise (sauf s’ils font partie de la direction)</w:t>
            </w:r>
            <w:r>
              <w:rPr>
                <w:rFonts w:ascii="Arial" w:hAnsi="Arial" w:cs="Arial"/>
                <w:sz w:val="20"/>
                <w:szCs w:val="20"/>
                <w:lang w:val="fr-BE"/>
              </w:rPr>
              <w:t xml:space="preserve"> </w:t>
            </w:r>
            <w:r w:rsidRPr="00DC205F">
              <w:rPr>
                <w:rFonts w:ascii="Arial" w:hAnsi="Arial" w:cs="Arial"/>
                <w:sz w:val="20"/>
                <w:szCs w:val="20"/>
                <w:lang w:val="fr-BE"/>
              </w:rPr>
              <w:t>;</w:t>
            </w:r>
          </w:p>
          <w:p w14:paraId="1358B954" w14:textId="77777777" w:rsidR="00F45099" w:rsidRPr="00DC205F" w:rsidRDefault="00F45099" w:rsidP="003D096C">
            <w:pPr>
              <w:pStyle w:val="ListParagraph"/>
              <w:numPr>
                <w:ilvl w:val="0"/>
                <w:numId w:val="6"/>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 xml:space="preserve">si les éléments ne sont pas infirmés, considérer l’impact sur l’opinion d’audit. </w:t>
            </w:r>
          </w:p>
        </w:tc>
        <w:tc>
          <w:tcPr>
            <w:tcW w:w="851" w:type="dxa"/>
            <w:vMerge/>
            <w:vAlign w:val="center"/>
          </w:tcPr>
          <w:p w14:paraId="1358B955"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vMerge/>
            <w:vAlign w:val="center"/>
          </w:tcPr>
          <w:p w14:paraId="1358B956" w14:textId="77777777" w:rsidR="00F45099" w:rsidRPr="00DC205F" w:rsidRDefault="00F45099" w:rsidP="00DC205F">
            <w:pPr>
              <w:spacing w:before="60" w:after="60" w:line="240" w:lineRule="auto"/>
              <w:jc w:val="center"/>
              <w:rPr>
                <w:rFonts w:ascii="Arial" w:hAnsi="Arial" w:cs="Arial"/>
                <w:sz w:val="20"/>
                <w:szCs w:val="20"/>
                <w:lang w:val="fr-BE"/>
              </w:rPr>
            </w:pPr>
          </w:p>
        </w:tc>
      </w:tr>
    </w:tbl>
    <w:p w14:paraId="1358B958" w14:textId="77777777" w:rsidR="00FD157F" w:rsidRPr="00D12B58" w:rsidRDefault="00FD157F">
      <w:pPr>
        <w:rPr>
          <w:lang w:val="fr-BE"/>
        </w:rPr>
      </w:pPr>
      <w:r w:rsidRPr="00D12B58">
        <w:rPr>
          <w:lang w:val="fr-BE"/>
        </w:rPr>
        <w:br w:type="page"/>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7"/>
        <w:gridCol w:w="851"/>
        <w:gridCol w:w="6662"/>
      </w:tblGrid>
      <w:tr w:rsidR="00FD157F" w:rsidRPr="00B33FA4" w14:paraId="1358B95C" w14:textId="77777777" w:rsidTr="00FD157F">
        <w:trPr>
          <w:trHeight w:val="555"/>
          <w:tblHeader/>
        </w:trPr>
        <w:tc>
          <w:tcPr>
            <w:tcW w:w="6237" w:type="dxa"/>
            <w:shd w:val="clear" w:color="auto" w:fill="BFBFBF"/>
            <w:vAlign w:val="center"/>
          </w:tcPr>
          <w:p w14:paraId="1358B959" w14:textId="77777777" w:rsidR="00FD157F" w:rsidRPr="00DC205F" w:rsidRDefault="00FD157F" w:rsidP="00FD157F">
            <w:pPr>
              <w:spacing w:before="60" w:after="60" w:line="240" w:lineRule="auto"/>
              <w:jc w:val="center"/>
              <w:rPr>
                <w:rFonts w:ascii="Arial" w:hAnsi="Arial" w:cs="Arial"/>
                <w:b/>
                <w:bCs/>
                <w:sz w:val="20"/>
                <w:szCs w:val="20"/>
                <w:lang w:val="fr-BE"/>
              </w:rPr>
            </w:pPr>
          </w:p>
        </w:tc>
        <w:tc>
          <w:tcPr>
            <w:tcW w:w="851" w:type="dxa"/>
            <w:shd w:val="clear" w:color="auto" w:fill="BFBFBF"/>
            <w:vAlign w:val="center"/>
          </w:tcPr>
          <w:p w14:paraId="1358B95A" w14:textId="77777777" w:rsidR="00FD157F" w:rsidRPr="00DC205F" w:rsidRDefault="00FD157F" w:rsidP="00FD157F">
            <w:pPr>
              <w:spacing w:before="60" w:after="60" w:line="240" w:lineRule="auto"/>
              <w:jc w:val="center"/>
              <w:rPr>
                <w:rFonts w:ascii="Arial" w:hAnsi="Arial" w:cs="Arial"/>
                <w:b/>
                <w:bCs/>
                <w:sz w:val="20"/>
                <w:szCs w:val="20"/>
                <w:lang w:val="fr-BE"/>
              </w:rPr>
            </w:pPr>
            <w:r w:rsidRPr="00B33FA4">
              <w:rPr>
                <w:rFonts w:ascii="Arial" w:hAnsi="Arial" w:cs="Arial"/>
                <w:b/>
                <w:sz w:val="20"/>
                <w:szCs w:val="20"/>
                <w:lang w:val="fr-BE"/>
              </w:rPr>
              <w:t>Ass.</w:t>
            </w:r>
            <w:r w:rsidRPr="00B33FA4">
              <w:rPr>
                <w:rStyle w:val="FootnoteReference"/>
                <w:rFonts w:ascii="Arial" w:hAnsi="Arial" w:cs="Arial"/>
                <w:b/>
                <w:sz w:val="20"/>
                <w:szCs w:val="20"/>
                <w:lang w:val="fr-BE"/>
              </w:rPr>
              <w:footnoteReference w:customMarkFollows="1" w:id="3"/>
              <w:sym w:font="Symbol" w:char="F02A"/>
            </w:r>
          </w:p>
        </w:tc>
        <w:tc>
          <w:tcPr>
            <w:tcW w:w="6662" w:type="dxa"/>
            <w:shd w:val="clear" w:color="auto" w:fill="BFBFBF"/>
            <w:vAlign w:val="center"/>
          </w:tcPr>
          <w:p w14:paraId="1358B95B" w14:textId="77777777" w:rsidR="00FD157F" w:rsidRPr="00DC205F" w:rsidRDefault="00FD157F" w:rsidP="00FD157F">
            <w:pPr>
              <w:spacing w:before="60" w:after="60" w:line="240" w:lineRule="auto"/>
              <w:jc w:val="center"/>
              <w:rPr>
                <w:rFonts w:ascii="Arial" w:hAnsi="Arial" w:cs="Arial"/>
                <w:b/>
                <w:bCs/>
                <w:sz w:val="20"/>
                <w:szCs w:val="20"/>
                <w:lang w:val="fr-BE"/>
              </w:rPr>
            </w:pPr>
            <w:r w:rsidRPr="00DC205F">
              <w:rPr>
                <w:rFonts w:ascii="Arial" w:hAnsi="Arial" w:cs="Arial"/>
                <w:b/>
                <w:bCs/>
                <w:sz w:val="20"/>
                <w:szCs w:val="20"/>
                <w:lang w:val="fr-BE"/>
              </w:rPr>
              <w:t>Commentaires</w:t>
            </w:r>
          </w:p>
        </w:tc>
      </w:tr>
      <w:tr w:rsidR="00F45099" w:rsidRPr="00B33FA4" w14:paraId="1358B960" w14:textId="77777777" w:rsidTr="00662220">
        <w:trPr>
          <w:trHeight w:val="300"/>
        </w:trPr>
        <w:tc>
          <w:tcPr>
            <w:tcW w:w="6237" w:type="dxa"/>
            <w:shd w:val="clear" w:color="auto" w:fill="D9D9D9"/>
            <w:vAlign w:val="bottom"/>
          </w:tcPr>
          <w:p w14:paraId="1358B95D" w14:textId="77777777" w:rsidR="00F45099" w:rsidRPr="00DC205F" w:rsidRDefault="00F45099" w:rsidP="0042537F">
            <w:pPr>
              <w:pStyle w:val="ListParagraph"/>
              <w:numPr>
                <w:ilvl w:val="0"/>
                <w:numId w:val="31"/>
              </w:numPr>
              <w:spacing w:before="60" w:after="60" w:line="240" w:lineRule="auto"/>
              <w:ind w:left="447" w:hanging="447"/>
              <w:contextualSpacing w:val="0"/>
              <w:rPr>
                <w:rFonts w:ascii="Arial" w:hAnsi="Arial" w:cs="Arial"/>
                <w:b/>
                <w:sz w:val="20"/>
                <w:szCs w:val="20"/>
                <w:lang w:val="fr-BE"/>
              </w:rPr>
            </w:pPr>
            <w:r w:rsidRPr="00DC205F">
              <w:rPr>
                <w:rFonts w:ascii="Arial" w:hAnsi="Arial" w:cs="Arial"/>
                <w:b/>
                <w:sz w:val="20"/>
                <w:szCs w:val="20"/>
                <w:lang w:val="fr-BE"/>
              </w:rPr>
              <w:t>Examiner les parties liées non identifié</w:t>
            </w:r>
            <w:r>
              <w:rPr>
                <w:rFonts w:ascii="Arial" w:hAnsi="Arial" w:cs="Arial"/>
                <w:b/>
                <w:sz w:val="20"/>
                <w:szCs w:val="20"/>
                <w:lang w:val="fr-BE"/>
              </w:rPr>
              <w:t>e</w:t>
            </w:r>
            <w:r w:rsidRPr="00DC205F">
              <w:rPr>
                <w:rFonts w:ascii="Arial" w:hAnsi="Arial" w:cs="Arial"/>
                <w:b/>
                <w:sz w:val="20"/>
                <w:szCs w:val="20"/>
                <w:lang w:val="fr-BE"/>
              </w:rPr>
              <w:t xml:space="preserve">s précédemment </w:t>
            </w:r>
          </w:p>
        </w:tc>
        <w:tc>
          <w:tcPr>
            <w:tcW w:w="851" w:type="dxa"/>
          </w:tcPr>
          <w:p w14:paraId="1358B95E"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CEA</w:t>
            </w:r>
          </w:p>
        </w:tc>
        <w:tc>
          <w:tcPr>
            <w:tcW w:w="6662" w:type="dxa"/>
          </w:tcPr>
          <w:p w14:paraId="1358B95F"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6B" w14:textId="77777777" w:rsidTr="00662220">
        <w:trPr>
          <w:trHeight w:val="418"/>
        </w:trPr>
        <w:tc>
          <w:tcPr>
            <w:tcW w:w="6237" w:type="dxa"/>
            <w:vAlign w:val="bottom"/>
          </w:tcPr>
          <w:p w14:paraId="1358B961" w14:textId="77777777" w:rsidR="00F45099" w:rsidRPr="00DC205F" w:rsidRDefault="00F45099" w:rsidP="00096F9D">
            <w:pPr>
              <w:spacing w:before="60" w:after="60" w:line="240" w:lineRule="auto"/>
              <w:jc w:val="both"/>
              <w:rPr>
                <w:rFonts w:ascii="Arial" w:hAnsi="Arial" w:cs="Arial"/>
                <w:sz w:val="20"/>
                <w:szCs w:val="20"/>
                <w:lang w:val="fr-BE"/>
              </w:rPr>
            </w:pPr>
            <w:r w:rsidRPr="00DC205F">
              <w:rPr>
                <w:rFonts w:ascii="Arial" w:hAnsi="Arial" w:cs="Arial"/>
                <w:sz w:val="20"/>
                <w:szCs w:val="20"/>
                <w:lang w:val="fr-BE"/>
              </w:rPr>
              <w:t>P</w:t>
            </w:r>
            <w:r>
              <w:rPr>
                <w:rFonts w:ascii="Arial" w:hAnsi="Arial" w:cs="Arial"/>
                <w:sz w:val="20"/>
                <w:szCs w:val="20"/>
                <w:lang w:val="fr-BE"/>
              </w:rPr>
              <w:t>our</w:t>
            </w:r>
            <w:r w:rsidRPr="00DC205F">
              <w:rPr>
                <w:rFonts w:ascii="Arial" w:hAnsi="Arial" w:cs="Arial"/>
                <w:sz w:val="20"/>
                <w:szCs w:val="20"/>
                <w:lang w:val="fr-BE"/>
              </w:rPr>
              <w:t xml:space="preserve"> l’identification des accords ou d’informations qui prouvent l’existence de parties liées ou de transactions entre parties liées non précédemment identifiées</w:t>
            </w:r>
            <w:r>
              <w:rPr>
                <w:rFonts w:ascii="Arial" w:hAnsi="Arial" w:cs="Arial"/>
                <w:sz w:val="20"/>
                <w:szCs w:val="20"/>
                <w:lang w:val="fr-BE"/>
              </w:rPr>
              <w:t xml:space="preserve">, il convient de </w:t>
            </w:r>
            <w:r w:rsidRPr="00DC205F">
              <w:rPr>
                <w:rFonts w:ascii="Arial" w:hAnsi="Arial" w:cs="Arial"/>
                <w:sz w:val="20"/>
                <w:szCs w:val="20"/>
                <w:lang w:val="fr-BE"/>
              </w:rPr>
              <w:t xml:space="preserve">:  </w:t>
            </w:r>
          </w:p>
          <w:p w14:paraId="1358B962" w14:textId="77777777" w:rsidR="00F45099" w:rsidRPr="00DC205F" w:rsidRDefault="00F45099" w:rsidP="00096F9D">
            <w:pPr>
              <w:pStyle w:val="ListParagraph"/>
              <w:numPr>
                <w:ilvl w:val="0"/>
                <w:numId w:val="10"/>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demander à la direction d’identifier toutes les transactions avec les nouvelles parties liées identifiées</w:t>
            </w:r>
            <w:r>
              <w:rPr>
                <w:rFonts w:ascii="Arial" w:hAnsi="Arial" w:cs="Arial"/>
                <w:sz w:val="20"/>
                <w:szCs w:val="20"/>
                <w:lang w:val="fr-BE"/>
              </w:rPr>
              <w:t xml:space="preserve"> </w:t>
            </w:r>
            <w:r w:rsidRPr="00DC205F">
              <w:rPr>
                <w:rFonts w:ascii="Arial" w:hAnsi="Arial" w:cs="Arial"/>
                <w:sz w:val="20"/>
                <w:szCs w:val="20"/>
                <w:lang w:val="fr-BE"/>
              </w:rPr>
              <w:t>;</w:t>
            </w:r>
          </w:p>
          <w:p w14:paraId="1358B963" w14:textId="77777777" w:rsidR="00F45099" w:rsidRPr="00DC205F" w:rsidRDefault="00F45099" w:rsidP="00096F9D">
            <w:pPr>
              <w:pStyle w:val="ListParagraph"/>
              <w:numPr>
                <w:ilvl w:val="0"/>
                <w:numId w:val="10"/>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demander des informations sur le fait de savoir pourquoi les règles de contrôle interne n’ont pas pu identifier les parties liées ou les transactions avec les parties liées</w:t>
            </w:r>
            <w:r>
              <w:rPr>
                <w:rFonts w:ascii="Arial" w:hAnsi="Arial" w:cs="Arial"/>
                <w:sz w:val="20"/>
                <w:szCs w:val="20"/>
                <w:lang w:val="fr-BE"/>
              </w:rPr>
              <w:t xml:space="preserve"> </w:t>
            </w:r>
            <w:r w:rsidRPr="00DC205F">
              <w:rPr>
                <w:rFonts w:ascii="Arial" w:hAnsi="Arial" w:cs="Arial"/>
                <w:sz w:val="20"/>
                <w:szCs w:val="20"/>
                <w:lang w:val="fr-BE"/>
              </w:rPr>
              <w:t>;</w:t>
            </w:r>
          </w:p>
          <w:p w14:paraId="1358B964" w14:textId="77777777" w:rsidR="00F45099" w:rsidRPr="00DC205F" w:rsidRDefault="00F45099" w:rsidP="00096F9D">
            <w:pPr>
              <w:pStyle w:val="ListParagraph"/>
              <w:numPr>
                <w:ilvl w:val="0"/>
                <w:numId w:val="10"/>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 xml:space="preserve">demander des informations au sujet de la nature de la relation avec les nouvelles parties liées identifiées ; </w:t>
            </w:r>
          </w:p>
          <w:p w14:paraId="1358B965" w14:textId="77777777" w:rsidR="00F45099" w:rsidRPr="00DC205F" w:rsidRDefault="00F45099" w:rsidP="00096F9D">
            <w:pPr>
              <w:pStyle w:val="ListParagraph"/>
              <w:numPr>
                <w:ilvl w:val="0"/>
                <w:numId w:val="11"/>
              </w:numPr>
              <w:spacing w:before="60" w:after="60" w:line="240" w:lineRule="auto"/>
              <w:ind w:left="616" w:hanging="283"/>
              <w:contextualSpacing w:val="0"/>
              <w:jc w:val="both"/>
              <w:rPr>
                <w:rFonts w:ascii="Arial" w:hAnsi="Arial" w:cs="Arial"/>
                <w:sz w:val="20"/>
                <w:szCs w:val="20"/>
                <w:lang w:val="fr-BE"/>
              </w:rPr>
            </w:pPr>
            <w:r w:rsidRPr="00DC205F">
              <w:rPr>
                <w:rFonts w:ascii="Arial" w:hAnsi="Arial" w:cs="Arial"/>
                <w:sz w:val="20"/>
                <w:szCs w:val="20"/>
                <w:lang w:val="fr-BE"/>
              </w:rPr>
              <w:t>examiner l’enregistrement des transactions avec les nouvelles parties liées identifiées</w:t>
            </w:r>
            <w:r>
              <w:rPr>
                <w:rFonts w:ascii="Arial" w:hAnsi="Arial" w:cs="Arial"/>
                <w:sz w:val="20"/>
                <w:szCs w:val="20"/>
                <w:lang w:val="fr-BE"/>
              </w:rPr>
              <w:t xml:space="preserve"> </w:t>
            </w:r>
            <w:r w:rsidRPr="00DC205F">
              <w:rPr>
                <w:rFonts w:ascii="Arial" w:hAnsi="Arial" w:cs="Arial"/>
                <w:sz w:val="20"/>
                <w:szCs w:val="20"/>
                <w:lang w:val="fr-BE"/>
              </w:rPr>
              <w:t xml:space="preserve">; </w:t>
            </w:r>
          </w:p>
          <w:p w14:paraId="1358B966" w14:textId="77777777" w:rsidR="00F45099" w:rsidRDefault="00F45099" w:rsidP="00096F9D">
            <w:pPr>
              <w:pStyle w:val="ListParagraph"/>
              <w:numPr>
                <w:ilvl w:val="0"/>
                <w:numId w:val="11"/>
              </w:numPr>
              <w:spacing w:before="60" w:after="60" w:line="240" w:lineRule="auto"/>
              <w:ind w:left="616" w:hanging="283"/>
              <w:contextualSpacing w:val="0"/>
              <w:jc w:val="both"/>
              <w:rPr>
                <w:rFonts w:ascii="Arial" w:hAnsi="Arial" w:cs="Arial"/>
                <w:sz w:val="20"/>
                <w:szCs w:val="20"/>
                <w:lang w:val="fr-BE"/>
              </w:rPr>
            </w:pPr>
            <w:r w:rsidRPr="00DC205F">
              <w:rPr>
                <w:rFonts w:ascii="Arial" w:hAnsi="Arial" w:cs="Arial"/>
                <w:sz w:val="20"/>
                <w:szCs w:val="20"/>
                <w:lang w:val="fr-BE"/>
              </w:rPr>
              <w:t>contrôler les conditions des nouvelles transactions entre parties liées identifiées et évaluer si ces transactions entre parties liées ont été réalisées de manière appropriée et publiée conformément au référentiel comptable applicable</w:t>
            </w:r>
            <w:r>
              <w:rPr>
                <w:rFonts w:ascii="Arial" w:hAnsi="Arial" w:cs="Arial"/>
                <w:sz w:val="20"/>
                <w:szCs w:val="20"/>
                <w:lang w:val="fr-BE"/>
              </w:rPr>
              <w:t xml:space="preserve"> </w:t>
            </w:r>
            <w:r w:rsidRPr="00DC205F">
              <w:rPr>
                <w:rFonts w:ascii="Arial" w:hAnsi="Arial" w:cs="Arial"/>
                <w:sz w:val="20"/>
                <w:szCs w:val="20"/>
                <w:lang w:val="fr-BE"/>
              </w:rPr>
              <w:t xml:space="preserve">; </w:t>
            </w:r>
          </w:p>
          <w:p w14:paraId="1358B967" w14:textId="77777777" w:rsidR="00F45099" w:rsidRPr="00DC205F" w:rsidRDefault="00F45099" w:rsidP="00096F9D">
            <w:pPr>
              <w:pStyle w:val="ListParagraph"/>
              <w:numPr>
                <w:ilvl w:val="0"/>
                <w:numId w:val="10"/>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considérer le risque que d’autres parties liées ou transactions significatives avec d’autres parties liées ne soient pas identifiées ou publiées, et exécuter des procédures d’audi</w:t>
            </w:r>
            <w:r w:rsidR="00096F9D">
              <w:rPr>
                <w:rFonts w:ascii="Arial" w:hAnsi="Arial" w:cs="Arial"/>
                <w:sz w:val="20"/>
                <w:szCs w:val="20"/>
                <w:lang w:val="fr-BE"/>
              </w:rPr>
              <w:t>t complémentaires si nécessaire ;</w:t>
            </w:r>
            <w:r w:rsidRPr="00DC205F">
              <w:rPr>
                <w:rFonts w:ascii="Arial" w:hAnsi="Arial" w:cs="Arial"/>
                <w:sz w:val="20"/>
                <w:szCs w:val="20"/>
                <w:lang w:val="fr-BE"/>
              </w:rPr>
              <w:t xml:space="preserve"> et </w:t>
            </w:r>
          </w:p>
          <w:p w14:paraId="1358B968" w14:textId="77777777" w:rsidR="00F45099" w:rsidRPr="00DC205F" w:rsidRDefault="00F45099" w:rsidP="00096F9D">
            <w:pPr>
              <w:pStyle w:val="ListParagraph"/>
              <w:numPr>
                <w:ilvl w:val="0"/>
                <w:numId w:val="10"/>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 xml:space="preserve">si la non publication par la direction des transactions entre parties liées semble intentionnelle (indicative d’un risque de fraude), considérer les conséquences pour l’audit. </w:t>
            </w:r>
          </w:p>
        </w:tc>
        <w:tc>
          <w:tcPr>
            <w:tcW w:w="851" w:type="dxa"/>
          </w:tcPr>
          <w:p w14:paraId="1358B969"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tcPr>
          <w:p w14:paraId="1358B96A" w14:textId="77777777" w:rsidR="00F45099" w:rsidRPr="00DC205F" w:rsidRDefault="00F45099" w:rsidP="00DC205F">
            <w:pPr>
              <w:spacing w:before="60" w:after="60" w:line="240" w:lineRule="auto"/>
              <w:jc w:val="center"/>
              <w:rPr>
                <w:rFonts w:ascii="Arial" w:hAnsi="Arial" w:cs="Arial"/>
                <w:sz w:val="20"/>
                <w:szCs w:val="20"/>
                <w:lang w:val="fr-BE"/>
              </w:rPr>
            </w:pPr>
          </w:p>
        </w:tc>
      </w:tr>
    </w:tbl>
    <w:p w14:paraId="1358B96C" w14:textId="77777777" w:rsidR="00675ADF" w:rsidRPr="00D12B58" w:rsidRDefault="00675ADF">
      <w:pPr>
        <w:rPr>
          <w:lang w:val="fr-BE"/>
        </w:rPr>
      </w:pPr>
      <w:r w:rsidRPr="00D12B58">
        <w:rPr>
          <w:lang w:val="fr-BE"/>
        </w:rPr>
        <w:br w:type="page"/>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0"/>
        <w:gridCol w:w="417"/>
        <w:gridCol w:w="851"/>
        <w:gridCol w:w="1856"/>
        <w:gridCol w:w="2271"/>
        <w:gridCol w:w="2535"/>
      </w:tblGrid>
      <w:tr w:rsidR="00675ADF" w:rsidRPr="00B33FA4" w14:paraId="1358B970" w14:textId="77777777" w:rsidTr="004A59E5">
        <w:trPr>
          <w:trHeight w:val="555"/>
          <w:tblHeader/>
        </w:trPr>
        <w:tc>
          <w:tcPr>
            <w:tcW w:w="6237" w:type="dxa"/>
            <w:gridSpan w:val="2"/>
            <w:shd w:val="clear" w:color="auto" w:fill="BFBFBF"/>
            <w:vAlign w:val="center"/>
          </w:tcPr>
          <w:p w14:paraId="1358B96D" w14:textId="77777777" w:rsidR="00675ADF" w:rsidRPr="00DC205F" w:rsidRDefault="00675ADF" w:rsidP="004A59E5">
            <w:pPr>
              <w:spacing w:before="60" w:after="60" w:line="240" w:lineRule="auto"/>
              <w:jc w:val="center"/>
              <w:rPr>
                <w:rFonts w:ascii="Arial" w:hAnsi="Arial" w:cs="Arial"/>
                <w:b/>
                <w:bCs/>
                <w:sz w:val="20"/>
                <w:szCs w:val="20"/>
                <w:lang w:val="fr-BE"/>
              </w:rPr>
            </w:pPr>
          </w:p>
        </w:tc>
        <w:tc>
          <w:tcPr>
            <w:tcW w:w="851" w:type="dxa"/>
            <w:shd w:val="clear" w:color="auto" w:fill="BFBFBF"/>
            <w:vAlign w:val="center"/>
          </w:tcPr>
          <w:p w14:paraId="1358B96E" w14:textId="77777777" w:rsidR="00675ADF" w:rsidRPr="00DC205F" w:rsidRDefault="00675ADF" w:rsidP="004A59E5">
            <w:pPr>
              <w:spacing w:before="60" w:after="60" w:line="240" w:lineRule="auto"/>
              <w:jc w:val="center"/>
              <w:rPr>
                <w:rFonts w:ascii="Arial" w:hAnsi="Arial" w:cs="Arial"/>
                <w:b/>
                <w:bCs/>
                <w:sz w:val="20"/>
                <w:szCs w:val="20"/>
                <w:lang w:val="fr-BE"/>
              </w:rPr>
            </w:pPr>
            <w:r w:rsidRPr="00B33FA4">
              <w:rPr>
                <w:rFonts w:ascii="Arial" w:hAnsi="Arial" w:cs="Arial"/>
                <w:b/>
                <w:sz w:val="20"/>
                <w:szCs w:val="20"/>
                <w:lang w:val="fr-BE"/>
              </w:rPr>
              <w:t>Ass.</w:t>
            </w:r>
            <w:r w:rsidRPr="00B33FA4">
              <w:rPr>
                <w:rStyle w:val="FootnoteReference"/>
                <w:rFonts w:ascii="Arial" w:hAnsi="Arial" w:cs="Arial"/>
                <w:b/>
                <w:sz w:val="20"/>
                <w:szCs w:val="20"/>
                <w:lang w:val="fr-BE"/>
              </w:rPr>
              <w:footnoteReference w:customMarkFollows="1" w:id="4"/>
              <w:sym w:font="Symbol" w:char="F02A"/>
            </w:r>
          </w:p>
        </w:tc>
        <w:tc>
          <w:tcPr>
            <w:tcW w:w="6662" w:type="dxa"/>
            <w:gridSpan w:val="3"/>
            <w:shd w:val="clear" w:color="auto" w:fill="BFBFBF"/>
            <w:vAlign w:val="center"/>
          </w:tcPr>
          <w:p w14:paraId="1358B96F" w14:textId="77777777" w:rsidR="00675ADF" w:rsidRPr="00DC205F" w:rsidRDefault="00675ADF" w:rsidP="004A59E5">
            <w:pPr>
              <w:spacing w:before="60" w:after="60" w:line="240" w:lineRule="auto"/>
              <w:jc w:val="center"/>
              <w:rPr>
                <w:rFonts w:ascii="Arial" w:hAnsi="Arial" w:cs="Arial"/>
                <w:b/>
                <w:bCs/>
                <w:sz w:val="20"/>
                <w:szCs w:val="20"/>
                <w:lang w:val="fr-BE"/>
              </w:rPr>
            </w:pPr>
            <w:r w:rsidRPr="00DC205F">
              <w:rPr>
                <w:rFonts w:ascii="Arial" w:hAnsi="Arial" w:cs="Arial"/>
                <w:b/>
                <w:bCs/>
                <w:sz w:val="20"/>
                <w:szCs w:val="20"/>
                <w:lang w:val="fr-BE"/>
              </w:rPr>
              <w:t>Commentaires</w:t>
            </w:r>
          </w:p>
        </w:tc>
      </w:tr>
      <w:tr w:rsidR="00F45099" w:rsidRPr="00B33FA4" w14:paraId="1358B974" w14:textId="77777777" w:rsidTr="00662220">
        <w:trPr>
          <w:trHeight w:val="300"/>
        </w:trPr>
        <w:tc>
          <w:tcPr>
            <w:tcW w:w="6237" w:type="dxa"/>
            <w:gridSpan w:val="2"/>
            <w:shd w:val="clear" w:color="auto" w:fill="D9D9D9"/>
            <w:vAlign w:val="bottom"/>
          </w:tcPr>
          <w:p w14:paraId="1358B971" w14:textId="77777777" w:rsidR="00F45099" w:rsidRPr="00DC205F" w:rsidRDefault="00F45099" w:rsidP="0042537F">
            <w:pPr>
              <w:pStyle w:val="ListParagraph"/>
              <w:numPr>
                <w:ilvl w:val="0"/>
                <w:numId w:val="31"/>
              </w:numPr>
              <w:spacing w:before="60" w:after="60" w:line="240" w:lineRule="auto"/>
              <w:ind w:left="447" w:hanging="447"/>
              <w:contextualSpacing w:val="0"/>
              <w:rPr>
                <w:rFonts w:ascii="Arial" w:hAnsi="Arial" w:cs="Arial"/>
                <w:b/>
                <w:sz w:val="20"/>
                <w:szCs w:val="20"/>
                <w:lang w:val="fr-BE"/>
              </w:rPr>
            </w:pPr>
            <w:r w:rsidRPr="00DC205F">
              <w:rPr>
                <w:rFonts w:ascii="Arial" w:hAnsi="Arial" w:cs="Arial"/>
                <w:b/>
                <w:sz w:val="20"/>
                <w:szCs w:val="20"/>
                <w:lang w:val="fr-BE"/>
              </w:rPr>
              <w:t xml:space="preserve">Transactions entre parties liées en dehors des activités normales  </w:t>
            </w:r>
          </w:p>
        </w:tc>
        <w:tc>
          <w:tcPr>
            <w:tcW w:w="851" w:type="dxa"/>
          </w:tcPr>
          <w:p w14:paraId="1358B972"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C</w:t>
            </w:r>
          </w:p>
        </w:tc>
        <w:tc>
          <w:tcPr>
            <w:tcW w:w="6662" w:type="dxa"/>
            <w:gridSpan w:val="3"/>
          </w:tcPr>
          <w:p w14:paraId="1358B973"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7A" w14:textId="77777777" w:rsidTr="00662220">
        <w:trPr>
          <w:trHeight w:val="857"/>
        </w:trPr>
        <w:tc>
          <w:tcPr>
            <w:tcW w:w="6237" w:type="dxa"/>
            <w:gridSpan w:val="2"/>
            <w:vAlign w:val="bottom"/>
          </w:tcPr>
          <w:p w14:paraId="1358B975" w14:textId="77777777" w:rsidR="00F45099" w:rsidRPr="00DC205F" w:rsidRDefault="00F45099" w:rsidP="00096F9D">
            <w:pPr>
              <w:spacing w:before="60" w:after="60" w:line="240" w:lineRule="auto"/>
              <w:jc w:val="both"/>
              <w:rPr>
                <w:rFonts w:ascii="Arial" w:hAnsi="Arial" w:cs="Arial"/>
                <w:sz w:val="20"/>
                <w:szCs w:val="20"/>
                <w:lang w:val="fr-BE"/>
              </w:rPr>
            </w:pPr>
            <w:r w:rsidRPr="00DC205F">
              <w:rPr>
                <w:rFonts w:ascii="Arial" w:hAnsi="Arial" w:cs="Arial"/>
                <w:sz w:val="20"/>
                <w:szCs w:val="20"/>
                <w:lang w:val="fr-BE"/>
              </w:rPr>
              <w:t>P</w:t>
            </w:r>
            <w:r>
              <w:rPr>
                <w:rFonts w:ascii="Arial" w:hAnsi="Arial" w:cs="Arial"/>
                <w:sz w:val="20"/>
                <w:szCs w:val="20"/>
                <w:lang w:val="fr-BE"/>
              </w:rPr>
              <w:t>our</w:t>
            </w:r>
            <w:r w:rsidRPr="00DC205F">
              <w:rPr>
                <w:rFonts w:ascii="Arial" w:hAnsi="Arial" w:cs="Arial"/>
                <w:sz w:val="20"/>
                <w:szCs w:val="20"/>
                <w:lang w:val="fr-BE"/>
              </w:rPr>
              <w:t xml:space="preserve"> l’identification de transactions significatives avec des parties liées en dehors des activités normales de l’entité, les procédures suivantes doivent être exécutées</w:t>
            </w:r>
            <w:r>
              <w:rPr>
                <w:rFonts w:ascii="Arial" w:hAnsi="Arial" w:cs="Arial"/>
                <w:sz w:val="20"/>
                <w:szCs w:val="20"/>
                <w:lang w:val="fr-BE"/>
              </w:rPr>
              <w:t xml:space="preserve"> </w:t>
            </w:r>
            <w:r w:rsidRPr="00DC205F">
              <w:rPr>
                <w:rFonts w:ascii="Arial" w:hAnsi="Arial" w:cs="Arial"/>
                <w:sz w:val="20"/>
                <w:szCs w:val="20"/>
                <w:lang w:val="fr-BE"/>
              </w:rPr>
              <w:t xml:space="preserve">: </w:t>
            </w:r>
          </w:p>
          <w:p w14:paraId="1358B976" w14:textId="77777777" w:rsidR="00F45099" w:rsidRPr="00DC205F" w:rsidRDefault="00F45099" w:rsidP="00096F9D">
            <w:pPr>
              <w:pStyle w:val="ListParagraph"/>
              <w:numPr>
                <w:ilvl w:val="0"/>
                <w:numId w:val="13"/>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examiner les contrats ou accords relatifs, et évaluer si (i) les raisons des transactions (ou le manque de raisons) suggèrent que ces transactions ont été réalisées dans le but de rendre les informations financières frauduleuses ou de dissimuler une appropriation frauduleuse d’actifs; (ii) les conditions des transactions sont cohérentes avec les explications de la direction; et (iii) les transactions ont été publiées de manière adéquate conformément au référentiel comptable applicable</w:t>
            </w:r>
            <w:r>
              <w:rPr>
                <w:rFonts w:ascii="Arial" w:hAnsi="Arial" w:cs="Arial"/>
                <w:sz w:val="20"/>
                <w:szCs w:val="20"/>
                <w:lang w:val="fr-BE"/>
              </w:rPr>
              <w:t xml:space="preserve"> </w:t>
            </w:r>
            <w:r w:rsidRPr="00DC205F">
              <w:rPr>
                <w:rFonts w:ascii="Arial" w:hAnsi="Arial" w:cs="Arial"/>
                <w:sz w:val="20"/>
                <w:szCs w:val="20"/>
                <w:lang w:val="fr-BE"/>
              </w:rPr>
              <w:t>; et</w:t>
            </w:r>
          </w:p>
          <w:p w14:paraId="1358B977" w14:textId="77777777" w:rsidR="00F45099" w:rsidRPr="00DC205F" w:rsidRDefault="00F45099" w:rsidP="00096F9D">
            <w:pPr>
              <w:pStyle w:val="ListParagraph"/>
              <w:numPr>
                <w:ilvl w:val="0"/>
                <w:numId w:val="13"/>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obtenir des éléments probants que les transactions ont été autorisées et approuvées de manière adéquate.</w:t>
            </w:r>
          </w:p>
        </w:tc>
        <w:tc>
          <w:tcPr>
            <w:tcW w:w="851" w:type="dxa"/>
          </w:tcPr>
          <w:p w14:paraId="1358B978"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gridSpan w:val="3"/>
          </w:tcPr>
          <w:p w14:paraId="1358B979"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B33FA4" w14:paraId="1358B97E" w14:textId="77777777" w:rsidTr="00662220">
        <w:trPr>
          <w:trHeight w:val="300"/>
        </w:trPr>
        <w:tc>
          <w:tcPr>
            <w:tcW w:w="6237" w:type="dxa"/>
            <w:gridSpan w:val="2"/>
            <w:shd w:val="clear" w:color="auto" w:fill="D9D9D9"/>
            <w:vAlign w:val="bottom"/>
          </w:tcPr>
          <w:p w14:paraId="1358B97B" w14:textId="77777777" w:rsidR="00F45099" w:rsidRPr="00DC205F" w:rsidRDefault="00F45099" w:rsidP="0042537F">
            <w:pPr>
              <w:pStyle w:val="ListParagraph"/>
              <w:numPr>
                <w:ilvl w:val="0"/>
                <w:numId w:val="31"/>
              </w:numPr>
              <w:spacing w:before="60" w:after="60" w:line="240" w:lineRule="auto"/>
              <w:ind w:left="447" w:hanging="447"/>
              <w:contextualSpacing w:val="0"/>
              <w:rPr>
                <w:rFonts w:ascii="Arial" w:hAnsi="Arial" w:cs="Arial"/>
                <w:b/>
                <w:sz w:val="20"/>
                <w:szCs w:val="20"/>
                <w:lang w:val="fr-BE"/>
              </w:rPr>
            </w:pPr>
            <w:r w:rsidRPr="00DC205F">
              <w:rPr>
                <w:rFonts w:ascii="Arial" w:hAnsi="Arial" w:cs="Arial"/>
                <w:b/>
                <w:sz w:val="20"/>
                <w:szCs w:val="20"/>
                <w:lang w:val="fr-BE"/>
              </w:rPr>
              <w:t>Transactions avec des parties liées faites dans les c</w:t>
            </w:r>
            <w:r>
              <w:rPr>
                <w:rFonts w:ascii="Arial" w:hAnsi="Arial" w:cs="Arial"/>
                <w:b/>
                <w:sz w:val="20"/>
                <w:szCs w:val="20"/>
                <w:lang w:val="fr-BE"/>
              </w:rPr>
              <w:t>onditions normales du marché (</w:t>
            </w:r>
            <w:r w:rsidRPr="00DC205F">
              <w:rPr>
                <w:rFonts w:ascii="Arial" w:hAnsi="Arial" w:cs="Arial"/>
                <w:b/>
                <w:i/>
                <w:sz w:val="20"/>
                <w:szCs w:val="20"/>
                <w:lang w:val="fr-BE"/>
              </w:rPr>
              <w:t>at</w:t>
            </w:r>
            <w:r w:rsidRPr="00DC205F">
              <w:rPr>
                <w:rFonts w:ascii="Arial" w:hAnsi="Arial" w:cs="Arial"/>
                <w:b/>
                <w:sz w:val="20"/>
                <w:szCs w:val="20"/>
                <w:lang w:val="fr-BE"/>
              </w:rPr>
              <w:t xml:space="preserve"> </w:t>
            </w:r>
            <w:r w:rsidRPr="00DC205F">
              <w:rPr>
                <w:rFonts w:ascii="Arial" w:hAnsi="Arial" w:cs="Arial"/>
                <w:b/>
                <w:i/>
                <w:iCs/>
                <w:sz w:val="20"/>
                <w:szCs w:val="20"/>
                <w:lang w:val="fr-BE"/>
              </w:rPr>
              <w:t>arm</w:t>
            </w:r>
            <w:r>
              <w:rPr>
                <w:rFonts w:ascii="Arial" w:hAnsi="Arial" w:cs="Arial"/>
                <w:b/>
                <w:i/>
                <w:iCs/>
                <w:sz w:val="20"/>
                <w:szCs w:val="20"/>
                <w:lang w:val="fr-BE"/>
              </w:rPr>
              <w:t>’</w:t>
            </w:r>
            <w:r w:rsidRPr="00DC205F">
              <w:rPr>
                <w:rFonts w:ascii="Arial" w:hAnsi="Arial" w:cs="Arial"/>
                <w:b/>
                <w:i/>
                <w:iCs/>
                <w:sz w:val="20"/>
                <w:szCs w:val="20"/>
                <w:lang w:val="fr-BE"/>
              </w:rPr>
              <w:t>s length</w:t>
            </w:r>
            <w:r w:rsidRPr="00DC205F">
              <w:rPr>
                <w:rFonts w:ascii="Arial" w:hAnsi="Arial" w:cs="Arial"/>
                <w:b/>
                <w:sz w:val="20"/>
                <w:szCs w:val="20"/>
                <w:lang w:val="fr-BE"/>
              </w:rPr>
              <w:t xml:space="preserve">) </w:t>
            </w:r>
          </w:p>
        </w:tc>
        <w:tc>
          <w:tcPr>
            <w:tcW w:w="851" w:type="dxa"/>
          </w:tcPr>
          <w:p w14:paraId="1358B97C"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AV</w:t>
            </w:r>
          </w:p>
        </w:tc>
        <w:tc>
          <w:tcPr>
            <w:tcW w:w="6662" w:type="dxa"/>
            <w:gridSpan w:val="3"/>
          </w:tcPr>
          <w:p w14:paraId="1358B97D"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89" w14:textId="77777777" w:rsidTr="00675ADF">
        <w:trPr>
          <w:trHeight w:val="413"/>
        </w:trPr>
        <w:tc>
          <w:tcPr>
            <w:tcW w:w="6237" w:type="dxa"/>
            <w:gridSpan w:val="2"/>
            <w:vAlign w:val="bottom"/>
          </w:tcPr>
          <w:p w14:paraId="1358B97F" w14:textId="77777777" w:rsidR="00F45099" w:rsidRPr="00DC205F" w:rsidRDefault="00F45099" w:rsidP="00096F9D">
            <w:pPr>
              <w:spacing w:before="60" w:after="60" w:line="240" w:lineRule="auto"/>
              <w:jc w:val="both"/>
              <w:rPr>
                <w:rFonts w:ascii="Arial" w:hAnsi="Arial" w:cs="Arial"/>
                <w:sz w:val="20"/>
                <w:szCs w:val="20"/>
                <w:lang w:val="fr-BE"/>
              </w:rPr>
            </w:pPr>
            <w:r w:rsidRPr="00DC205F">
              <w:rPr>
                <w:rFonts w:ascii="Arial" w:hAnsi="Arial" w:cs="Arial"/>
                <w:sz w:val="20"/>
                <w:szCs w:val="20"/>
                <w:lang w:val="fr-BE"/>
              </w:rPr>
              <w:t>Si la direction a réalisé une évaluation ayant pour résultat qu’une transaction avec des</w:t>
            </w:r>
            <w:r>
              <w:rPr>
                <w:rFonts w:ascii="Arial" w:hAnsi="Arial" w:cs="Arial"/>
                <w:sz w:val="20"/>
                <w:szCs w:val="20"/>
                <w:lang w:val="fr-BE"/>
              </w:rPr>
              <w:t xml:space="preserve"> parties liées a été conclue à des</w:t>
            </w:r>
            <w:r w:rsidRPr="00DC205F">
              <w:rPr>
                <w:rFonts w:ascii="Arial" w:hAnsi="Arial" w:cs="Arial"/>
                <w:sz w:val="20"/>
                <w:szCs w:val="20"/>
                <w:lang w:val="fr-BE"/>
              </w:rPr>
              <w:t xml:space="preserve"> co</w:t>
            </w:r>
            <w:r>
              <w:rPr>
                <w:rFonts w:ascii="Arial" w:hAnsi="Arial" w:cs="Arial"/>
                <w:sz w:val="20"/>
                <w:szCs w:val="20"/>
                <w:lang w:val="fr-BE"/>
              </w:rPr>
              <w:t xml:space="preserve">nditions équivalentes aux conditions normales du marché </w:t>
            </w:r>
            <w:r w:rsidRPr="00DC205F">
              <w:rPr>
                <w:rFonts w:ascii="Arial" w:hAnsi="Arial" w:cs="Arial"/>
                <w:sz w:val="20"/>
                <w:szCs w:val="20"/>
                <w:lang w:val="fr-BE"/>
              </w:rPr>
              <w:t>(</w:t>
            </w:r>
            <w:r w:rsidRPr="00DD3EA7">
              <w:rPr>
                <w:rFonts w:ascii="Arial" w:hAnsi="Arial" w:cs="Arial"/>
                <w:i/>
                <w:sz w:val="20"/>
                <w:szCs w:val="20"/>
                <w:lang w:val="fr-BE"/>
              </w:rPr>
              <w:t>at</w:t>
            </w:r>
            <w:r>
              <w:rPr>
                <w:rFonts w:ascii="Arial" w:hAnsi="Arial" w:cs="Arial"/>
                <w:sz w:val="20"/>
                <w:szCs w:val="20"/>
                <w:lang w:val="fr-BE"/>
              </w:rPr>
              <w:t xml:space="preserve"> </w:t>
            </w:r>
            <w:r w:rsidRPr="00DC205F">
              <w:rPr>
                <w:rFonts w:ascii="Arial" w:hAnsi="Arial" w:cs="Arial"/>
                <w:i/>
                <w:iCs/>
                <w:sz w:val="20"/>
                <w:szCs w:val="20"/>
                <w:lang w:val="fr-BE"/>
              </w:rPr>
              <w:t>arm’s length</w:t>
            </w:r>
            <w:r w:rsidRPr="00DC205F">
              <w:rPr>
                <w:rFonts w:ascii="Arial" w:hAnsi="Arial" w:cs="Arial"/>
                <w:sz w:val="20"/>
                <w:szCs w:val="20"/>
                <w:lang w:val="fr-BE"/>
              </w:rPr>
              <w:t>), les procédures suivantes doivent être exécutées</w:t>
            </w:r>
            <w:r>
              <w:rPr>
                <w:rFonts w:ascii="Arial" w:hAnsi="Arial" w:cs="Arial"/>
                <w:sz w:val="20"/>
                <w:szCs w:val="20"/>
                <w:lang w:val="fr-BE"/>
              </w:rPr>
              <w:t xml:space="preserve"> </w:t>
            </w:r>
            <w:r w:rsidRPr="00DC205F">
              <w:rPr>
                <w:rFonts w:ascii="Arial" w:hAnsi="Arial" w:cs="Arial"/>
                <w:sz w:val="20"/>
                <w:szCs w:val="20"/>
                <w:lang w:val="fr-BE"/>
              </w:rPr>
              <w:t xml:space="preserve">: </w:t>
            </w:r>
          </w:p>
          <w:p w14:paraId="1358B980" w14:textId="77777777" w:rsidR="00F45099" w:rsidRPr="00DC205F" w:rsidRDefault="00F45099" w:rsidP="00096F9D">
            <w:pPr>
              <w:pStyle w:val="ListParagraph"/>
              <w:numPr>
                <w:ilvl w:val="0"/>
                <w:numId w:val="14"/>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Considérer le caractère approprié du processus de la direction pour appuyer l’évaluation</w:t>
            </w:r>
            <w:r>
              <w:rPr>
                <w:rFonts w:ascii="Arial" w:hAnsi="Arial" w:cs="Arial"/>
                <w:sz w:val="20"/>
                <w:szCs w:val="20"/>
                <w:lang w:val="fr-BE"/>
              </w:rPr>
              <w:t>.</w:t>
            </w:r>
            <w:r w:rsidRPr="00DC205F">
              <w:rPr>
                <w:rFonts w:ascii="Arial" w:hAnsi="Arial" w:cs="Arial"/>
                <w:sz w:val="20"/>
                <w:szCs w:val="20"/>
                <w:lang w:val="fr-BE"/>
              </w:rPr>
              <w:t xml:space="preserve"> </w:t>
            </w:r>
            <w:r>
              <w:rPr>
                <w:rFonts w:ascii="Arial" w:hAnsi="Arial" w:cs="Arial"/>
                <w:sz w:val="20"/>
                <w:szCs w:val="20"/>
                <w:lang w:val="fr-BE"/>
              </w:rPr>
              <w:t>L</w:t>
            </w:r>
            <w:r w:rsidRPr="00DC205F">
              <w:rPr>
                <w:rFonts w:ascii="Arial" w:hAnsi="Arial" w:cs="Arial"/>
                <w:sz w:val="20"/>
                <w:szCs w:val="20"/>
                <w:lang w:val="fr-BE"/>
              </w:rPr>
              <w:t>a direction peut s’appuyer sur</w:t>
            </w:r>
            <w:r>
              <w:rPr>
                <w:rFonts w:ascii="Arial" w:hAnsi="Arial" w:cs="Arial"/>
                <w:sz w:val="20"/>
                <w:szCs w:val="20"/>
                <w:lang w:val="fr-BE"/>
              </w:rPr>
              <w:t xml:space="preserve"> </w:t>
            </w:r>
            <w:r w:rsidRPr="00DC205F">
              <w:rPr>
                <w:rFonts w:ascii="Arial" w:hAnsi="Arial" w:cs="Arial"/>
                <w:sz w:val="20"/>
                <w:szCs w:val="20"/>
                <w:lang w:val="fr-BE"/>
              </w:rPr>
              <w:t xml:space="preserve">: </w:t>
            </w:r>
          </w:p>
          <w:p w14:paraId="1358B981" w14:textId="77777777" w:rsidR="00F45099" w:rsidRPr="00DC205F" w:rsidRDefault="00F45099" w:rsidP="00096F9D">
            <w:pPr>
              <w:pStyle w:val="ListParagraph"/>
              <w:numPr>
                <w:ilvl w:val="0"/>
                <w:numId w:val="39"/>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la comparaison des conditions des transactions entre parties liées par rapport à celles à une transaction identique ou similaire avec un</w:t>
            </w:r>
            <w:r>
              <w:rPr>
                <w:rFonts w:ascii="Arial" w:hAnsi="Arial" w:cs="Arial"/>
                <w:sz w:val="20"/>
                <w:szCs w:val="20"/>
                <w:lang w:val="fr-BE"/>
              </w:rPr>
              <w:t>e</w:t>
            </w:r>
            <w:r w:rsidRPr="00DC205F">
              <w:rPr>
                <w:rFonts w:ascii="Arial" w:hAnsi="Arial" w:cs="Arial"/>
                <w:sz w:val="20"/>
                <w:szCs w:val="20"/>
                <w:lang w:val="fr-BE"/>
              </w:rPr>
              <w:t xml:space="preserve"> ou plusieurs parties non liées</w:t>
            </w:r>
            <w:r>
              <w:rPr>
                <w:rFonts w:ascii="Arial" w:hAnsi="Arial" w:cs="Arial"/>
                <w:sz w:val="20"/>
                <w:szCs w:val="20"/>
                <w:lang w:val="fr-BE"/>
              </w:rPr>
              <w:t xml:space="preserve"> </w:t>
            </w:r>
            <w:r w:rsidRPr="00DC205F">
              <w:rPr>
                <w:rFonts w:ascii="Arial" w:hAnsi="Arial" w:cs="Arial"/>
                <w:sz w:val="20"/>
                <w:szCs w:val="20"/>
                <w:lang w:val="fr-BE"/>
              </w:rPr>
              <w:t xml:space="preserve">; </w:t>
            </w:r>
          </w:p>
          <w:p w14:paraId="1358B982" w14:textId="77777777" w:rsidR="00F45099" w:rsidRPr="00DC205F" w:rsidRDefault="00F45099" w:rsidP="00096F9D">
            <w:pPr>
              <w:pStyle w:val="ListParagraph"/>
              <w:numPr>
                <w:ilvl w:val="0"/>
                <w:numId w:val="39"/>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 xml:space="preserve">l’engagement d’un expert externe pour déterminer la valeur du marché et pour confirmer les conditions du marché et les conditions des transactions ; </w:t>
            </w:r>
          </w:p>
          <w:p w14:paraId="1358B983" w14:textId="77777777" w:rsidR="00F45099" w:rsidRDefault="00F45099" w:rsidP="00096F9D">
            <w:pPr>
              <w:pStyle w:val="ListParagraph"/>
              <w:numPr>
                <w:ilvl w:val="0"/>
                <w:numId w:val="40"/>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lastRenderedPageBreak/>
              <w:t xml:space="preserve">la comparaison des conditions des transactions avec les conditions connues du marché pour des transactions étrangères </w:t>
            </w:r>
            <w:r w:rsidR="00096F9D">
              <w:rPr>
                <w:rFonts w:ascii="Arial" w:hAnsi="Arial" w:cs="Arial"/>
                <w:sz w:val="20"/>
                <w:szCs w:val="20"/>
                <w:lang w:val="fr-BE"/>
              </w:rPr>
              <w:t xml:space="preserve">similaires sur un marché ouvert </w:t>
            </w:r>
            <w:r w:rsidRPr="00DC205F">
              <w:rPr>
                <w:rFonts w:ascii="Arial" w:hAnsi="Arial" w:cs="Arial"/>
                <w:sz w:val="20"/>
                <w:szCs w:val="20"/>
                <w:lang w:val="fr-BE"/>
              </w:rPr>
              <w:t>;</w:t>
            </w:r>
          </w:p>
          <w:p w14:paraId="1358B984" w14:textId="77777777" w:rsidR="00675ADF" w:rsidRPr="00DC205F" w:rsidRDefault="00675ADF" w:rsidP="00675ADF">
            <w:pPr>
              <w:pStyle w:val="ListParagraph"/>
              <w:spacing w:before="60" w:after="60" w:line="240" w:lineRule="auto"/>
              <w:contextualSpacing w:val="0"/>
              <w:jc w:val="both"/>
              <w:rPr>
                <w:rFonts w:ascii="Arial" w:hAnsi="Arial" w:cs="Arial"/>
                <w:sz w:val="20"/>
                <w:szCs w:val="20"/>
                <w:lang w:val="fr-BE"/>
              </w:rPr>
            </w:pPr>
          </w:p>
          <w:p w14:paraId="1358B985" w14:textId="77777777" w:rsidR="00F45099" w:rsidRPr="00DC205F" w:rsidRDefault="00F45099" w:rsidP="00096F9D">
            <w:pPr>
              <w:pStyle w:val="ListParagraph"/>
              <w:numPr>
                <w:ilvl w:val="0"/>
                <w:numId w:val="14"/>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contrôler la source interne ou externe des données appuyant l’évaluation, et tester les données pour déterminer leur exactitude, exhaustivité et pertinence</w:t>
            </w:r>
            <w:r>
              <w:rPr>
                <w:rFonts w:ascii="Arial" w:hAnsi="Arial" w:cs="Arial"/>
                <w:sz w:val="20"/>
                <w:szCs w:val="20"/>
                <w:lang w:val="fr-BE"/>
              </w:rPr>
              <w:t xml:space="preserve"> </w:t>
            </w:r>
            <w:r w:rsidRPr="00DC205F">
              <w:rPr>
                <w:rFonts w:ascii="Arial" w:hAnsi="Arial" w:cs="Arial"/>
                <w:sz w:val="20"/>
                <w:szCs w:val="20"/>
                <w:lang w:val="fr-BE"/>
              </w:rPr>
              <w:t xml:space="preserve">; </w:t>
            </w:r>
          </w:p>
          <w:p w14:paraId="1358B986" w14:textId="77777777" w:rsidR="00F45099" w:rsidRPr="00DC205F" w:rsidRDefault="00F45099" w:rsidP="00096F9D">
            <w:pPr>
              <w:pStyle w:val="ListParagraph"/>
              <w:numPr>
                <w:ilvl w:val="0"/>
                <w:numId w:val="14"/>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évaluer le caractère raisonnable de toutes les hypothèses significatives sur lesquelles l’évaluation est basée.</w:t>
            </w:r>
          </w:p>
        </w:tc>
        <w:tc>
          <w:tcPr>
            <w:tcW w:w="851" w:type="dxa"/>
          </w:tcPr>
          <w:p w14:paraId="1358B987"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gridSpan w:val="3"/>
          </w:tcPr>
          <w:p w14:paraId="1358B988" w14:textId="77777777" w:rsidR="00F45099" w:rsidRPr="00F91C34" w:rsidRDefault="00F45099" w:rsidP="005E6E49">
            <w:pPr>
              <w:rPr>
                <w:rFonts w:ascii="Arial" w:hAnsi="Arial" w:cs="Arial"/>
                <w:sz w:val="20"/>
                <w:szCs w:val="20"/>
                <w:lang w:val="fr-BE"/>
              </w:rPr>
            </w:pPr>
          </w:p>
        </w:tc>
      </w:tr>
      <w:tr w:rsidR="00F45099" w:rsidRPr="00B33FA4" w14:paraId="1358B98D" w14:textId="77777777" w:rsidTr="00662220">
        <w:trPr>
          <w:trHeight w:val="353"/>
        </w:trPr>
        <w:tc>
          <w:tcPr>
            <w:tcW w:w="6237" w:type="dxa"/>
            <w:gridSpan w:val="2"/>
            <w:shd w:val="clear" w:color="auto" w:fill="D9D9D9"/>
            <w:vAlign w:val="bottom"/>
          </w:tcPr>
          <w:p w14:paraId="1358B98A" w14:textId="77777777" w:rsidR="00F45099" w:rsidRPr="00DC205F" w:rsidRDefault="00F45099" w:rsidP="0042537F">
            <w:pPr>
              <w:pStyle w:val="ListParagraph"/>
              <w:numPr>
                <w:ilvl w:val="0"/>
                <w:numId w:val="31"/>
              </w:numPr>
              <w:spacing w:before="60" w:after="60" w:line="240" w:lineRule="auto"/>
              <w:ind w:left="447" w:hanging="447"/>
              <w:contextualSpacing w:val="0"/>
              <w:rPr>
                <w:rFonts w:ascii="Arial" w:hAnsi="Arial" w:cs="Arial"/>
                <w:sz w:val="20"/>
                <w:szCs w:val="20"/>
                <w:lang w:val="fr-BE"/>
              </w:rPr>
            </w:pPr>
            <w:r w:rsidRPr="00DC205F">
              <w:rPr>
                <w:rFonts w:ascii="Arial" w:hAnsi="Arial" w:cs="Arial"/>
                <w:b/>
                <w:bCs/>
                <w:sz w:val="20"/>
                <w:szCs w:val="20"/>
                <w:lang w:val="fr-BE"/>
              </w:rPr>
              <w:t>Confirmations</w:t>
            </w:r>
          </w:p>
        </w:tc>
        <w:tc>
          <w:tcPr>
            <w:tcW w:w="851" w:type="dxa"/>
          </w:tcPr>
          <w:p w14:paraId="1358B98B" w14:textId="77777777" w:rsidR="00F45099" w:rsidRPr="00DC205F" w:rsidRDefault="00F45099" w:rsidP="00DC205F">
            <w:pPr>
              <w:spacing w:before="60" w:after="60" w:line="240" w:lineRule="auto"/>
              <w:jc w:val="center"/>
              <w:rPr>
                <w:rFonts w:ascii="Arial" w:hAnsi="Arial" w:cs="Arial"/>
                <w:sz w:val="20"/>
                <w:szCs w:val="20"/>
                <w:lang w:val="fr-BE"/>
              </w:rPr>
            </w:pPr>
            <w:r w:rsidRPr="00DC205F">
              <w:rPr>
                <w:rFonts w:ascii="Arial" w:hAnsi="Arial" w:cs="Arial"/>
                <w:sz w:val="20"/>
                <w:szCs w:val="20"/>
                <w:lang w:val="fr-BE"/>
              </w:rPr>
              <w:t>CEAV</w:t>
            </w:r>
          </w:p>
        </w:tc>
        <w:tc>
          <w:tcPr>
            <w:tcW w:w="6662" w:type="dxa"/>
            <w:gridSpan w:val="3"/>
          </w:tcPr>
          <w:p w14:paraId="1358B98C"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93" w14:textId="77777777" w:rsidTr="00662220">
        <w:trPr>
          <w:trHeight w:val="1725"/>
        </w:trPr>
        <w:tc>
          <w:tcPr>
            <w:tcW w:w="6237" w:type="dxa"/>
            <w:gridSpan w:val="2"/>
          </w:tcPr>
          <w:p w14:paraId="1358B98E" w14:textId="77777777" w:rsidR="00F45099" w:rsidRPr="00DC205F" w:rsidRDefault="00F45099" w:rsidP="00096F9D">
            <w:pPr>
              <w:spacing w:before="60" w:after="60" w:line="240" w:lineRule="auto"/>
              <w:jc w:val="both"/>
              <w:rPr>
                <w:rFonts w:ascii="Arial" w:hAnsi="Arial" w:cs="Arial"/>
                <w:sz w:val="20"/>
                <w:szCs w:val="20"/>
                <w:lang w:val="fr-BE"/>
              </w:rPr>
            </w:pPr>
            <w:r w:rsidRPr="00DC205F">
              <w:rPr>
                <w:rFonts w:ascii="Arial" w:hAnsi="Arial" w:cs="Arial"/>
                <w:sz w:val="20"/>
                <w:szCs w:val="20"/>
                <w:lang w:val="fr-BE"/>
              </w:rPr>
              <w:t>Obtenir des confirmations écrites du client relatives</w:t>
            </w:r>
            <w:r>
              <w:rPr>
                <w:rFonts w:ascii="Arial" w:hAnsi="Arial" w:cs="Arial"/>
                <w:sz w:val="20"/>
                <w:szCs w:val="20"/>
                <w:lang w:val="fr-BE"/>
              </w:rPr>
              <w:t xml:space="preserve"> </w:t>
            </w:r>
            <w:r w:rsidRPr="00DC205F">
              <w:rPr>
                <w:rFonts w:ascii="Arial" w:hAnsi="Arial" w:cs="Arial"/>
                <w:sz w:val="20"/>
                <w:szCs w:val="20"/>
                <w:lang w:val="fr-BE"/>
              </w:rPr>
              <w:t xml:space="preserve">: </w:t>
            </w:r>
          </w:p>
          <w:p w14:paraId="1358B98F" w14:textId="77777777" w:rsidR="00F45099" w:rsidRPr="00DC205F" w:rsidRDefault="00F45099" w:rsidP="00096F9D">
            <w:pPr>
              <w:pStyle w:val="ListParagraph"/>
              <w:numPr>
                <w:ilvl w:val="0"/>
                <w:numId w:val="41"/>
              </w:numPr>
              <w:spacing w:before="60" w:after="60" w:line="240" w:lineRule="auto"/>
              <w:contextualSpacing w:val="0"/>
              <w:jc w:val="both"/>
              <w:rPr>
                <w:rFonts w:ascii="Arial" w:hAnsi="Arial" w:cs="Arial"/>
                <w:sz w:val="20"/>
                <w:szCs w:val="20"/>
                <w:lang w:val="fr-BE"/>
              </w:rPr>
            </w:pPr>
            <w:r w:rsidRPr="00DC205F">
              <w:rPr>
                <w:rFonts w:ascii="Arial" w:hAnsi="Arial" w:cs="Arial"/>
                <w:sz w:val="20"/>
                <w:szCs w:val="20"/>
                <w:lang w:val="fr-BE"/>
              </w:rPr>
              <w:t>au caractère complet des informations fournies relatives aux parties liées</w:t>
            </w:r>
            <w:r>
              <w:rPr>
                <w:rFonts w:ascii="Arial" w:hAnsi="Arial" w:cs="Arial"/>
                <w:sz w:val="20"/>
                <w:szCs w:val="20"/>
                <w:lang w:val="fr-BE"/>
              </w:rPr>
              <w:t xml:space="preserve"> </w:t>
            </w:r>
            <w:r w:rsidRPr="00DC205F">
              <w:rPr>
                <w:rFonts w:ascii="Arial" w:hAnsi="Arial" w:cs="Arial"/>
                <w:sz w:val="20"/>
                <w:szCs w:val="20"/>
                <w:lang w:val="fr-BE"/>
              </w:rPr>
              <w:t>;</w:t>
            </w:r>
          </w:p>
          <w:p w14:paraId="1358B990" w14:textId="77777777" w:rsidR="00F45099" w:rsidRPr="00DC205F" w:rsidRDefault="00F45099" w:rsidP="00096F9D">
            <w:pPr>
              <w:pStyle w:val="ListParagraph"/>
              <w:numPr>
                <w:ilvl w:val="0"/>
                <w:numId w:val="41"/>
              </w:numPr>
              <w:spacing w:before="60" w:after="60" w:line="240" w:lineRule="auto"/>
              <w:contextualSpacing w:val="0"/>
              <w:jc w:val="both"/>
              <w:rPr>
                <w:rFonts w:ascii="Arial" w:hAnsi="Arial" w:cs="Arial"/>
                <w:sz w:val="20"/>
                <w:szCs w:val="20"/>
                <w:lang w:val="fr-BE"/>
              </w:rPr>
            </w:pPr>
            <w:r w:rsidRPr="00DC205F">
              <w:rPr>
                <w:rFonts w:ascii="Arial" w:hAnsi="Arial" w:cs="Arial"/>
                <w:color w:val="000000"/>
                <w:sz w:val="20"/>
                <w:szCs w:val="20"/>
                <w:lang w:val="fr-BE"/>
              </w:rPr>
              <w:t xml:space="preserve">au caractère adéquat des publications sur les parties liées dans les comptes annuels. </w:t>
            </w:r>
          </w:p>
        </w:tc>
        <w:tc>
          <w:tcPr>
            <w:tcW w:w="851" w:type="dxa"/>
            <w:vAlign w:val="center"/>
          </w:tcPr>
          <w:p w14:paraId="1358B991"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gridSpan w:val="3"/>
            <w:vAlign w:val="center"/>
          </w:tcPr>
          <w:p w14:paraId="1358B992"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97" w14:textId="77777777" w:rsidTr="00662220">
        <w:trPr>
          <w:trHeight w:val="540"/>
        </w:trPr>
        <w:tc>
          <w:tcPr>
            <w:tcW w:w="6237" w:type="dxa"/>
            <w:gridSpan w:val="2"/>
            <w:shd w:val="clear" w:color="auto" w:fill="D9D9D9"/>
          </w:tcPr>
          <w:p w14:paraId="1358B994" w14:textId="77777777" w:rsidR="00F45099" w:rsidRPr="00DC205F" w:rsidRDefault="00F45099" w:rsidP="0042537F">
            <w:pPr>
              <w:pStyle w:val="ListParagraph"/>
              <w:numPr>
                <w:ilvl w:val="0"/>
                <w:numId w:val="31"/>
              </w:numPr>
              <w:spacing w:before="60" w:after="60" w:line="240" w:lineRule="auto"/>
              <w:ind w:left="447"/>
              <w:contextualSpacing w:val="0"/>
              <w:rPr>
                <w:rFonts w:ascii="Arial" w:hAnsi="Arial" w:cs="Arial"/>
                <w:b/>
                <w:bCs/>
                <w:sz w:val="20"/>
                <w:szCs w:val="20"/>
                <w:lang w:val="fr-BE"/>
              </w:rPr>
            </w:pPr>
            <w:r w:rsidRPr="00DC205F">
              <w:rPr>
                <w:rFonts w:ascii="Arial" w:hAnsi="Arial" w:cs="Arial"/>
                <w:b/>
                <w:bCs/>
                <w:sz w:val="20"/>
                <w:szCs w:val="20"/>
                <w:lang w:val="fr-BE"/>
              </w:rPr>
              <w:t xml:space="preserve">Présentation et publication des comptes annuels  </w:t>
            </w:r>
          </w:p>
        </w:tc>
        <w:tc>
          <w:tcPr>
            <w:tcW w:w="851" w:type="dxa"/>
            <w:vMerge w:val="restart"/>
          </w:tcPr>
          <w:p w14:paraId="1358B995"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gridSpan w:val="3"/>
            <w:vMerge w:val="restart"/>
          </w:tcPr>
          <w:p w14:paraId="1358B996"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251B30" w14:paraId="1358B99B" w14:textId="77777777" w:rsidTr="00662220">
        <w:trPr>
          <w:trHeight w:val="846"/>
        </w:trPr>
        <w:tc>
          <w:tcPr>
            <w:tcW w:w="6237" w:type="dxa"/>
            <w:gridSpan w:val="2"/>
          </w:tcPr>
          <w:p w14:paraId="1358B998" w14:textId="77777777" w:rsidR="00F45099" w:rsidRPr="00DC205F" w:rsidRDefault="00F45099" w:rsidP="00096F9D">
            <w:pPr>
              <w:spacing w:before="60" w:after="60" w:line="240" w:lineRule="auto"/>
              <w:jc w:val="both"/>
              <w:rPr>
                <w:rFonts w:ascii="Arial" w:hAnsi="Arial" w:cs="Arial"/>
                <w:sz w:val="20"/>
                <w:szCs w:val="20"/>
                <w:lang w:val="fr-BE"/>
              </w:rPr>
            </w:pPr>
            <w:r w:rsidRPr="00DC205F">
              <w:rPr>
                <w:rFonts w:ascii="Arial" w:hAnsi="Arial" w:cs="Arial"/>
                <w:sz w:val="20"/>
                <w:szCs w:val="20"/>
                <w:lang w:val="fr-BE"/>
              </w:rPr>
              <w:t xml:space="preserve">S’assurer que les transactions avec les parties liées ont été publiées de manière adéquate dans les comptes annuels conformément au référentiel comptable applicable. </w:t>
            </w:r>
          </w:p>
        </w:tc>
        <w:tc>
          <w:tcPr>
            <w:tcW w:w="851" w:type="dxa"/>
            <w:vMerge/>
            <w:vAlign w:val="center"/>
          </w:tcPr>
          <w:p w14:paraId="1358B999" w14:textId="77777777" w:rsidR="00F45099" w:rsidRPr="00DC205F" w:rsidRDefault="00F45099" w:rsidP="00DC205F">
            <w:pPr>
              <w:spacing w:before="60" w:after="60" w:line="240" w:lineRule="auto"/>
              <w:jc w:val="center"/>
              <w:rPr>
                <w:rFonts w:ascii="Arial" w:hAnsi="Arial" w:cs="Arial"/>
                <w:sz w:val="20"/>
                <w:szCs w:val="20"/>
                <w:lang w:val="fr-BE"/>
              </w:rPr>
            </w:pPr>
          </w:p>
        </w:tc>
        <w:tc>
          <w:tcPr>
            <w:tcW w:w="6662" w:type="dxa"/>
            <w:gridSpan w:val="3"/>
            <w:vMerge/>
            <w:vAlign w:val="center"/>
          </w:tcPr>
          <w:p w14:paraId="1358B99A" w14:textId="77777777" w:rsidR="00F45099" w:rsidRPr="00DC205F" w:rsidRDefault="00F45099" w:rsidP="00DC205F">
            <w:pPr>
              <w:spacing w:before="60" w:after="60" w:line="240" w:lineRule="auto"/>
              <w:jc w:val="center"/>
              <w:rPr>
                <w:rFonts w:ascii="Arial" w:hAnsi="Arial" w:cs="Arial"/>
                <w:sz w:val="20"/>
                <w:szCs w:val="20"/>
                <w:lang w:val="fr-BE"/>
              </w:rPr>
            </w:pPr>
          </w:p>
        </w:tc>
      </w:tr>
      <w:tr w:rsidR="00F45099" w:rsidRPr="00B33FA4" w14:paraId="1358B99D" w14:textId="77777777" w:rsidTr="00662220">
        <w:trPr>
          <w:trHeight w:val="547"/>
        </w:trPr>
        <w:tc>
          <w:tcPr>
            <w:tcW w:w="13750" w:type="dxa"/>
            <w:gridSpan w:val="6"/>
            <w:shd w:val="clear" w:color="auto" w:fill="D9D9D9"/>
            <w:noWrap/>
            <w:vAlign w:val="bottom"/>
          </w:tcPr>
          <w:p w14:paraId="1358B99C" w14:textId="77777777" w:rsidR="00F45099" w:rsidRPr="00DC205F" w:rsidRDefault="00F45099" w:rsidP="00DC205F">
            <w:pPr>
              <w:spacing w:before="60" w:after="60" w:line="240" w:lineRule="auto"/>
              <w:rPr>
                <w:rFonts w:ascii="Arial" w:hAnsi="Arial" w:cs="Arial"/>
                <w:sz w:val="20"/>
                <w:szCs w:val="20"/>
                <w:lang w:val="fr-BE"/>
              </w:rPr>
            </w:pPr>
            <w:r w:rsidRPr="00DC205F">
              <w:rPr>
                <w:rFonts w:ascii="Arial" w:hAnsi="Arial" w:cs="Arial"/>
                <w:b/>
                <w:bCs/>
                <w:sz w:val="20"/>
                <w:szCs w:val="20"/>
                <w:lang w:val="fr-BE"/>
              </w:rPr>
              <w:t>CONCLUSIONS</w:t>
            </w:r>
          </w:p>
        </w:tc>
      </w:tr>
      <w:tr w:rsidR="00F45099" w:rsidRPr="00251B30" w14:paraId="1358B9A0" w14:textId="77777777" w:rsidTr="00675ADF">
        <w:trPr>
          <w:trHeight w:val="980"/>
        </w:trPr>
        <w:tc>
          <w:tcPr>
            <w:tcW w:w="13750" w:type="dxa"/>
            <w:gridSpan w:val="6"/>
            <w:tcBorders>
              <w:bottom w:val="single" w:sz="4" w:space="0" w:color="auto"/>
            </w:tcBorders>
            <w:noWrap/>
            <w:vAlign w:val="bottom"/>
          </w:tcPr>
          <w:p w14:paraId="1358B99E" w14:textId="77777777" w:rsidR="00F45099" w:rsidRPr="00DC205F" w:rsidRDefault="00F45099" w:rsidP="00096F9D">
            <w:pPr>
              <w:spacing w:before="60" w:after="60" w:line="240" w:lineRule="auto"/>
              <w:jc w:val="both"/>
              <w:rPr>
                <w:rFonts w:ascii="Arial" w:hAnsi="Arial" w:cs="Arial"/>
                <w:sz w:val="20"/>
                <w:szCs w:val="20"/>
                <w:lang w:val="fr-BE"/>
              </w:rPr>
            </w:pPr>
            <w:r w:rsidRPr="00DC205F">
              <w:rPr>
                <w:rFonts w:ascii="Arial" w:hAnsi="Arial" w:cs="Arial"/>
                <w:sz w:val="20"/>
                <w:szCs w:val="20"/>
                <w:lang w:val="fr-BE"/>
              </w:rPr>
              <w:t>Le risque d’anomalie significative a été réduit à un niveau faible acceptable.</w:t>
            </w:r>
          </w:p>
          <w:p w14:paraId="1358B99F" w14:textId="77777777" w:rsidR="00675ADF" w:rsidRPr="00DC205F" w:rsidRDefault="00F45099" w:rsidP="00675ADF">
            <w:pPr>
              <w:spacing w:before="60" w:after="60" w:line="240" w:lineRule="auto"/>
              <w:jc w:val="both"/>
              <w:rPr>
                <w:rFonts w:ascii="Arial" w:hAnsi="Arial" w:cs="Arial"/>
                <w:sz w:val="20"/>
                <w:szCs w:val="20"/>
                <w:lang w:val="fr-BE"/>
              </w:rPr>
            </w:pPr>
            <w:r w:rsidRPr="00DC205F">
              <w:rPr>
                <w:rFonts w:ascii="Arial" w:hAnsi="Arial" w:cs="Arial"/>
                <w:sz w:val="20"/>
                <w:szCs w:val="20"/>
                <w:lang w:val="fr-BE"/>
              </w:rPr>
              <w:t>Dans les cas où nous ne sommes pas en mesure de recueilli</w:t>
            </w:r>
            <w:r>
              <w:rPr>
                <w:rFonts w:ascii="Arial" w:hAnsi="Arial" w:cs="Arial"/>
                <w:sz w:val="20"/>
                <w:szCs w:val="20"/>
                <w:lang w:val="fr-BE"/>
              </w:rPr>
              <w:t>r</w:t>
            </w:r>
            <w:r w:rsidRPr="00DC205F">
              <w:rPr>
                <w:rFonts w:ascii="Arial" w:hAnsi="Arial" w:cs="Arial"/>
                <w:sz w:val="20"/>
                <w:szCs w:val="20"/>
                <w:lang w:val="fr-BE"/>
              </w:rPr>
              <w:t xml:space="preserve"> des éléments suffisants et appropriés relatifs aux parties liées ou aux transactions avec ces parties ou d’arriver à la conclusion que leur pu</w:t>
            </w:r>
            <w:r>
              <w:rPr>
                <w:rFonts w:ascii="Arial" w:hAnsi="Arial" w:cs="Arial"/>
                <w:sz w:val="20"/>
                <w:szCs w:val="20"/>
                <w:lang w:val="fr-BE"/>
              </w:rPr>
              <w:t>blication aux comptes annuels est</w:t>
            </w:r>
            <w:r w:rsidRPr="00DC205F">
              <w:rPr>
                <w:rFonts w:ascii="Arial" w:hAnsi="Arial" w:cs="Arial"/>
                <w:sz w:val="20"/>
                <w:szCs w:val="20"/>
                <w:lang w:val="fr-BE"/>
              </w:rPr>
              <w:t xml:space="preserve"> adéquate, nous devrons modifier notre rapport en conséquence</w:t>
            </w:r>
            <w:r>
              <w:rPr>
                <w:rFonts w:ascii="Arial" w:hAnsi="Arial" w:cs="Arial"/>
                <w:sz w:val="20"/>
                <w:szCs w:val="20"/>
                <w:lang w:val="fr-BE"/>
              </w:rPr>
              <w:t>.</w:t>
            </w:r>
            <w:r w:rsidR="00F5121D">
              <w:rPr>
                <w:rFonts w:ascii="Arial" w:hAnsi="Arial" w:cs="Arial"/>
                <w:sz w:val="20"/>
                <w:szCs w:val="20"/>
                <w:lang w:val="fr-BE"/>
              </w:rPr>
              <w:br/>
            </w:r>
          </w:p>
        </w:tc>
      </w:tr>
      <w:tr w:rsidR="00675ADF" w:rsidRPr="00251B30" w14:paraId="1358B9A5" w14:textId="77777777" w:rsidTr="00675ADF">
        <w:tblPrEx>
          <w:tblLook w:val="01E0" w:firstRow="1" w:lastRow="1" w:firstColumn="1" w:lastColumn="1" w:noHBand="0" w:noVBand="0"/>
        </w:tblPrEx>
        <w:trPr>
          <w:trHeight w:val="285"/>
        </w:trPr>
        <w:tc>
          <w:tcPr>
            <w:tcW w:w="5820" w:type="dxa"/>
            <w:tcBorders>
              <w:top w:val="single" w:sz="4" w:space="0" w:color="auto"/>
              <w:left w:val="nil"/>
              <w:bottom w:val="single" w:sz="4" w:space="0" w:color="auto"/>
              <w:right w:val="nil"/>
            </w:tcBorders>
          </w:tcPr>
          <w:p w14:paraId="1358B9A1" w14:textId="77777777" w:rsidR="00675ADF" w:rsidRPr="009521DB" w:rsidRDefault="00675ADF" w:rsidP="00651328">
            <w:pPr>
              <w:tabs>
                <w:tab w:val="left" w:pos="7920"/>
              </w:tabs>
              <w:spacing w:before="60" w:after="60" w:line="240" w:lineRule="auto"/>
              <w:rPr>
                <w:rFonts w:ascii="Arial" w:hAnsi="Arial" w:cs="Arial"/>
                <w:sz w:val="20"/>
                <w:szCs w:val="20"/>
                <w:lang w:val="fr-BE" w:eastAsia="nl-BE"/>
              </w:rPr>
            </w:pPr>
          </w:p>
        </w:tc>
        <w:tc>
          <w:tcPr>
            <w:tcW w:w="3124" w:type="dxa"/>
            <w:gridSpan w:val="3"/>
            <w:tcBorders>
              <w:top w:val="single" w:sz="4" w:space="0" w:color="auto"/>
              <w:left w:val="nil"/>
              <w:bottom w:val="single" w:sz="4" w:space="0" w:color="auto"/>
              <w:right w:val="nil"/>
            </w:tcBorders>
          </w:tcPr>
          <w:p w14:paraId="1358B9A2" w14:textId="77777777" w:rsidR="00675ADF" w:rsidRPr="009521DB" w:rsidRDefault="00675ADF" w:rsidP="00651328">
            <w:pPr>
              <w:tabs>
                <w:tab w:val="left" w:pos="7920"/>
              </w:tabs>
              <w:spacing w:before="60" w:after="60" w:line="240" w:lineRule="auto"/>
              <w:rPr>
                <w:rFonts w:ascii="Arial" w:hAnsi="Arial" w:cs="Arial"/>
                <w:sz w:val="20"/>
                <w:szCs w:val="20"/>
                <w:lang w:val="fr-BE" w:eastAsia="nl-BE"/>
              </w:rPr>
            </w:pPr>
          </w:p>
        </w:tc>
        <w:tc>
          <w:tcPr>
            <w:tcW w:w="2271" w:type="dxa"/>
            <w:tcBorders>
              <w:top w:val="single" w:sz="4" w:space="0" w:color="auto"/>
              <w:left w:val="nil"/>
              <w:bottom w:val="single" w:sz="4" w:space="0" w:color="auto"/>
              <w:right w:val="nil"/>
            </w:tcBorders>
          </w:tcPr>
          <w:p w14:paraId="1358B9A3" w14:textId="77777777" w:rsidR="00675ADF" w:rsidRPr="009521DB" w:rsidRDefault="00675ADF" w:rsidP="00651328">
            <w:pPr>
              <w:tabs>
                <w:tab w:val="left" w:pos="7920"/>
              </w:tabs>
              <w:spacing w:before="60" w:after="60" w:line="240" w:lineRule="auto"/>
              <w:rPr>
                <w:rFonts w:ascii="Arial" w:hAnsi="Arial" w:cs="Arial"/>
                <w:sz w:val="20"/>
                <w:szCs w:val="20"/>
                <w:lang w:val="fr-BE" w:eastAsia="nl-BE"/>
              </w:rPr>
            </w:pPr>
          </w:p>
        </w:tc>
        <w:tc>
          <w:tcPr>
            <w:tcW w:w="2535" w:type="dxa"/>
            <w:tcBorders>
              <w:top w:val="single" w:sz="4" w:space="0" w:color="auto"/>
              <w:left w:val="nil"/>
              <w:bottom w:val="single" w:sz="4" w:space="0" w:color="auto"/>
              <w:right w:val="nil"/>
            </w:tcBorders>
          </w:tcPr>
          <w:p w14:paraId="1358B9A4" w14:textId="77777777" w:rsidR="00675ADF" w:rsidRPr="009521DB" w:rsidRDefault="00675ADF" w:rsidP="00651328">
            <w:pPr>
              <w:tabs>
                <w:tab w:val="left" w:pos="7920"/>
              </w:tabs>
              <w:spacing w:before="60" w:after="60" w:line="240" w:lineRule="auto"/>
              <w:rPr>
                <w:rFonts w:ascii="Arial" w:hAnsi="Arial" w:cs="Arial"/>
                <w:sz w:val="20"/>
                <w:szCs w:val="20"/>
                <w:lang w:val="fr-BE" w:eastAsia="nl-BE"/>
              </w:rPr>
            </w:pPr>
          </w:p>
        </w:tc>
      </w:tr>
      <w:tr w:rsidR="00C13799" w:rsidRPr="00B33FA4" w14:paraId="1358B9AA" w14:textId="77777777" w:rsidTr="00675ADF">
        <w:tblPrEx>
          <w:tblLook w:val="01E0" w:firstRow="1" w:lastRow="1" w:firstColumn="1" w:lastColumn="1" w:noHBand="0" w:noVBand="0"/>
        </w:tblPrEx>
        <w:trPr>
          <w:trHeight w:val="285"/>
        </w:trPr>
        <w:tc>
          <w:tcPr>
            <w:tcW w:w="5820" w:type="dxa"/>
            <w:tcBorders>
              <w:top w:val="single" w:sz="4" w:space="0" w:color="auto"/>
            </w:tcBorders>
          </w:tcPr>
          <w:p w14:paraId="1358B9A6" w14:textId="77777777" w:rsidR="00C13799" w:rsidRPr="009521DB" w:rsidRDefault="00C13799" w:rsidP="00651328">
            <w:pPr>
              <w:tabs>
                <w:tab w:val="left" w:pos="7920"/>
              </w:tabs>
              <w:spacing w:before="60" w:after="60" w:line="240" w:lineRule="auto"/>
              <w:rPr>
                <w:rFonts w:ascii="Arial" w:hAnsi="Arial" w:cs="Arial"/>
                <w:sz w:val="20"/>
                <w:szCs w:val="20"/>
                <w:lang w:val="fr-BE" w:eastAsia="nl-BE"/>
              </w:rPr>
            </w:pPr>
            <w:r w:rsidRPr="009521DB">
              <w:rPr>
                <w:rFonts w:ascii="Arial" w:hAnsi="Arial" w:cs="Arial"/>
                <w:sz w:val="20"/>
                <w:szCs w:val="20"/>
                <w:lang w:val="fr-BE" w:eastAsia="nl-BE"/>
              </w:rPr>
              <w:lastRenderedPageBreak/>
              <w:t>Préparé par</w:t>
            </w:r>
          </w:p>
        </w:tc>
        <w:tc>
          <w:tcPr>
            <w:tcW w:w="3124" w:type="dxa"/>
            <w:gridSpan w:val="3"/>
            <w:tcBorders>
              <w:top w:val="single" w:sz="4" w:space="0" w:color="auto"/>
            </w:tcBorders>
          </w:tcPr>
          <w:p w14:paraId="1358B9A7" w14:textId="77777777" w:rsidR="00C13799" w:rsidRPr="009521DB" w:rsidRDefault="00C13799" w:rsidP="00651328">
            <w:pPr>
              <w:tabs>
                <w:tab w:val="left" w:pos="7920"/>
              </w:tabs>
              <w:spacing w:before="60" w:after="60" w:line="240" w:lineRule="auto"/>
              <w:rPr>
                <w:rFonts w:ascii="Arial" w:hAnsi="Arial" w:cs="Arial"/>
                <w:sz w:val="20"/>
                <w:szCs w:val="20"/>
                <w:lang w:val="fr-BE" w:eastAsia="nl-BE"/>
              </w:rPr>
            </w:pPr>
          </w:p>
        </w:tc>
        <w:tc>
          <w:tcPr>
            <w:tcW w:w="2271" w:type="dxa"/>
            <w:tcBorders>
              <w:top w:val="single" w:sz="4" w:space="0" w:color="auto"/>
            </w:tcBorders>
          </w:tcPr>
          <w:p w14:paraId="1358B9A8" w14:textId="77777777" w:rsidR="00C13799" w:rsidRPr="009521DB" w:rsidRDefault="00C13799" w:rsidP="00651328">
            <w:pPr>
              <w:tabs>
                <w:tab w:val="left" w:pos="7920"/>
              </w:tabs>
              <w:spacing w:before="60" w:after="60" w:line="240" w:lineRule="auto"/>
              <w:rPr>
                <w:rFonts w:ascii="Arial" w:hAnsi="Arial" w:cs="Arial"/>
                <w:sz w:val="20"/>
                <w:szCs w:val="20"/>
                <w:lang w:val="fr-BE" w:eastAsia="nl-BE"/>
              </w:rPr>
            </w:pPr>
            <w:r w:rsidRPr="009521DB">
              <w:rPr>
                <w:rFonts w:ascii="Arial" w:hAnsi="Arial" w:cs="Arial"/>
                <w:sz w:val="20"/>
                <w:szCs w:val="20"/>
                <w:lang w:val="fr-BE" w:eastAsia="nl-BE"/>
              </w:rPr>
              <w:t>Date</w:t>
            </w:r>
          </w:p>
        </w:tc>
        <w:tc>
          <w:tcPr>
            <w:tcW w:w="2535" w:type="dxa"/>
            <w:tcBorders>
              <w:top w:val="single" w:sz="4" w:space="0" w:color="auto"/>
            </w:tcBorders>
          </w:tcPr>
          <w:p w14:paraId="1358B9A9" w14:textId="77777777" w:rsidR="00C13799" w:rsidRPr="009521DB" w:rsidRDefault="00C13799" w:rsidP="00651328">
            <w:pPr>
              <w:tabs>
                <w:tab w:val="left" w:pos="7920"/>
              </w:tabs>
              <w:spacing w:before="60" w:after="60" w:line="240" w:lineRule="auto"/>
              <w:rPr>
                <w:rFonts w:ascii="Arial" w:hAnsi="Arial" w:cs="Arial"/>
                <w:sz w:val="20"/>
                <w:szCs w:val="20"/>
                <w:lang w:val="fr-BE" w:eastAsia="nl-BE"/>
              </w:rPr>
            </w:pPr>
          </w:p>
        </w:tc>
      </w:tr>
      <w:tr w:rsidR="00C13799" w:rsidRPr="00B33FA4" w14:paraId="1358B9AF" w14:textId="77777777" w:rsidTr="00662220">
        <w:tblPrEx>
          <w:tblLook w:val="01E0" w:firstRow="1" w:lastRow="1" w:firstColumn="1" w:lastColumn="1" w:noHBand="0" w:noVBand="0"/>
        </w:tblPrEx>
        <w:trPr>
          <w:trHeight w:val="284"/>
        </w:trPr>
        <w:tc>
          <w:tcPr>
            <w:tcW w:w="5820" w:type="dxa"/>
          </w:tcPr>
          <w:p w14:paraId="1358B9AB" w14:textId="77777777" w:rsidR="00C13799" w:rsidRPr="009521DB" w:rsidRDefault="00C13799" w:rsidP="00651328">
            <w:pPr>
              <w:tabs>
                <w:tab w:val="left" w:pos="7920"/>
              </w:tabs>
              <w:spacing w:before="60" w:after="60" w:line="240" w:lineRule="auto"/>
              <w:rPr>
                <w:rFonts w:ascii="Arial" w:hAnsi="Arial" w:cs="Arial"/>
                <w:sz w:val="20"/>
                <w:szCs w:val="20"/>
                <w:lang w:val="fr-BE" w:eastAsia="nl-BE"/>
              </w:rPr>
            </w:pPr>
            <w:r>
              <w:rPr>
                <w:rFonts w:ascii="Arial" w:hAnsi="Arial" w:cs="Arial"/>
                <w:sz w:val="20"/>
                <w:szCs w:val="20"/>
                <w:lang w:val="fr-BE" w:eastAsia="nl-BE"/>
              </w:rPr>
              <w:t>Revu</w:t>
            </w:r>
            <w:r w:rsidRPr="009521DB">
              <w:rPr>
                <w:rFonts w:ascii="Arial" w:hAnsi="Arial" w:cs="Arial"/>
                <w:sz w:val="20"/>
                <w:szCs w:val="20"/>
                <w:lang w:val="fr-BE" w:eastAsia="nl-BE"/>
              </w:rPr>
              <w:t xml:space="preserve"> par l’associé responsable de la mission</w:t>
            </w:r>
          </w:p>
        </w:tc>
        <w:tc>
          <w:tcPr>
            <w:tcW w:w="3124" w:type="dxa"/>
            <w:gridSpan w:val="3"/>
          </w:tcPr>
          <w:p w14:paraId="1358B9AC" w14:textId="77777777" w:rsidR="00C13799" w:rsidRPr="009521DB" w:rsidRDefault="00C13799" w:rsidP="00651328">
            <w:pPr>
              <w:tabs>
                <w:tab w:val="left" w:pos="7920"/>
              </w:tabs>
              <w:spacing w:before="60" w:after="60" w:line="240" w:lineRule="auto"/>
              <w:rPr>
                <w:rFonts w:ascii="Arial" w:hAnsi="Arial" w:cs="Arial"/>
                <w:sz w:val="20"/>
                <w:szCs w:val="20"/>
                <w:lang w:val="fr-BE" w:eastAsia="nl-BE"/>
              </w:rPr>
            </w:pPr>
          </w:p>
        </w:tc>
        <w:tc>
          <w:tcPr>
            <w:tcW w:w="2271" w:type="dxa"/>
          </w:tcPr>
          <w:p w14:paraId="1358B9AD" w14:textId="77777777" w:rsidR="00C13799" w:rsidRPr="009521DB" w:rsidRDefault="00C13799" w:rsidP="00651328">
            <w:pPr>
              <w:tabs>
                <w:tab w:val="left" w:pos="7920"/>
              </w:tabs>
              <w:spacing w:before="60" w:after="60" w:line="240" w:lineRule="auto"/>
              <w:rPr>
                <w:rFonts w:ascii="Arial" w:hAnsi="Arial" w:cs="Arial"/>
                <w:sz w:val="20"/>
                <w:szCs w:val="20"/>
                <w:lang w:val="fr-BE" w:eastAsia="nl-BE"/>
              </w:rPr>
            </w:pPr>
            <w:r w:rsidRPr="009521DB">
              <w:rPr>
                <w:rFonts w:ascii="Arial" w:hAnsi="Arial" w:cs="Arial"/>
                <w:sz w:val="20"/>
                <w:szCs w:val="20"/>
                <w:lang w:val="fr-BE" w:eastAsia="nl-BE"/>
              </w:rPr>
              <w:t>Date</w:t>
            </w:r>
          </w:p>
        </w:tc>
        <w:tc>
          <w:tcPr>
            <w:tcW w:w="2535" w:type="dxa"/>
          </w:tcPr>
          <w:p w14:paraId="1358B9AE" w14:textId="77777777" w:rsidR="00C13799" w:rsidRPr="009521DB" w:rsidRDefault="00C13799" w:rsidP="00651328">
            <w:pPr>
              <w:tabs>
                <w:tab w:val="left" w:pos="7920"/>
              </w:tabs>
              <w:spacing w:before="60" w:after="60" w:line="240" w:lineRule="auto"/>
              <w:rPr>
                <w:rFonts w:ascii="Arial" w:hAnsi="Arial" w:cs="Arial"/>
                <w:sz w:val="20"/>
                <w:szCs w:val="20"/>
                <w:lang w:val="fr-BE" w:eastAsia="nl-BE"/>
              </w:rPr>
            </w:pPr>
          </w:p>
        </w:tc>
      </w:tr>
      <w:tr w:rsidR="00C13799" w:rsidRPr="00B33FA4" w14:paraId="1358B9B4" w14:textId="77777777" w:rsidTr="00662220">
        <w:tblPrEx>
          <w:tblLook w:val="01E0" w:firstRow="1" w:lastRow="1" w:firstColumn="1" w:lastColumn="1" w:noHBand="0" w:noVBand="0"/>
        </w:tblPrEx>
        <w:trPr>
          <w:trHeight w:val="284"/>
        </w:trPr>
        <w:tc>
          <w:tcPr>
            <w:tcW w:w="5820" w:type="dxa"/>
          </w:tcPr>
          <w:p w14:paraId="1358B9B0" w14:textId="77777777" w:rsidR="00C13799" w:rsidRPr="00F91C34" w:rsidRDefault="00C13799" w:rsidP="00651328">
            <w:pPr>
              <w:tabs>
                <w:tab w:val="left" w:pos="7920"/>
              </w:tabs>
              <w:spacing w:before="60" w:after="60" w:line="240" w:lineRule="auto"/>
              <w:rPr>
                <w:rFonts w:ascii="Arial" w:hAnsi="Arial" w:cs="Arial"/>
                <w:i/>
                <w:sz w:val="20"/>
                <w:szCs w:val="20"/>
                <w:lang w:val="fr-BE" w:eastAsia="nl-BE"/>
              </w:rPr>
            </w:pPr>
            <w:r w:rsidRPr="00F91C34">
              <w:rPr>
                <w:rFonts w:ascii="Arial" w:hAnsi="Arial" w:cs="Arial"/>
                <w:sz w:val="20"/>
                <w:szCs w:val="20"/>
                <w:lang w:val="fr-BE" w:eastAsia="nl-BE"/>
              </w:rPr>
              <w:t>Revu</w:t>
            </w:r>
            <w:r w:rsidRPr="009521DB">
              <w:rPr>
                <w:rFonts w:ascii="Arial" w:hAnsi="Arial" w:cs="Arial"/>
                <w:sz w:val="20"/>
                <w:szCs w:val="20"/>
                <w:lang w:val="fr-BE" w:eastAsia="nl-BE"/>
              </w:rPr>
              <w:t xml:space="preserve"> par le responsable contrôle qualité </w:t>
            </w:r>
          </w:p>
        </w:tc>
        <w:tc>
          <w:tcPr>
            <w:tcW w:w="3124" w:type="dxa"/>
            <w:gridSpan w:val="3"/>
          </w:tcPr>
          <w:p w14:paraId="1358B9B1" w14:textId="77777777" w:rsidR="00C13799" w:rsidRPr="009521DB" w:rsidRDefault="00C13799" w:rsidP="00651328">
            <w:pPr>
              <w:tabs>
                <w:tab w:val="left" w:pos="7920"/>
              </w:tabs>
              <w:spacing w:before="60" w:after="60" w:line="240" w:lineRule="auto"/>
              <w:rPr>
                <w:rFonts w:ascii="Arial" w:hAnsi="Arial" w:cs="Arial"/>
                <w:sz w:val="20"/>
                <w:szCs w:val="20"/>
                <w:lang w:val="fr-BE" w:eastAsia="nl-BE"/>
              </w:rPr>
            </w:pPr>
          </w:p>
        </w:tc>
        <w:tc>
          <w:tcPr>
            <w:tcW w:w="2271" w:type="dxa"/>
          </w:tcPr>
          <w:p w14:paraId="1358B9B2" w14:textId="77777777" w:rsidR="00C13799" w:rsidRPr="009521DB" w:rsidRDefault="00C13799" w:rsidP="00651328">
            <w:pPr>
              <w:tabs>
                <w:tab w:val="left" w:pos="7920"/>
              </w:tabs>
              <w:spacing w:before="60" w:after="60" w:line="240" w:lineRule="auto"/>
              <w:rPr>
                <w:rFonts w:ascii="Arial" w:hAnsi="Arial" w:cs="Arial"/>
                <w:sz w:val="20"/>
                <w:szCs w:val="20"/>
                <w:lang w:val="fr-BE" w:eastAsia="nl-BE"/>
              </w:rPr>
            </w:pPr>
            <w:r w:rsidRPr="009521DB">
              <w:rPr>
                <w:rFonts w:ascii="Arial" w:hAnsi="Arial" w:cs="Arial"/>
                <w:sz w:val="20"/>
                <w:szCs w:val="20"/>
                <w:lang w:val="fr-BE" w:eastAsia="nl-BE"/>
              </w:rPr>
              <w:t>Date</w:t>
            </w:r>
          </w:p>
        </w:tc>
        <w:tc>
          <w:tcPr>
            <w:tcW w:w="2535" w:type="dxa"/>
          </w:tcPr>
          <w:p w14:paraId="1358B9B3" w14:textId="77777777" w:rsidR="00C13799" w:rsidRPr="009521DB" w:rsidRDefault="00C13799" w:rsidP="00651328">
            <w:pPr>
              <w:tabs>
                <w:tab w:val="left" w:pos="7920"/>
              </w:tabs>
              <w:spacing w:before="60" w:after="60" w:line="240" w:lineRule="auto"/>
              <w:rPr>
                <w:rFonts w:ascii="Arial" w:hAnsi="Arial" w:cs="Arial"/>
                <w:sz w:val="20"/>
                <w:szCs w:val="20"/>
                <w:lang w:val="fr-BE" w:eastAsia="nl-BE"/>
              </w:rPr>
            </w:pPr>
          </w:p>
        </w:tc>
      </w:tr>
    </w:tbl>
    <w:p w14:paraId="1358B9B5" w14:textId="77777777" w:rsidR="00C13799" w:rsidRPr="00C13799" w:rsidRDefault="00C13799" w:rsidP="007F28C4">
      <w:pPr>
        <w:jc w:val="center"/>
        <w:rPr>
          <w:rFonts w:ascii="Arial" w:hAnsi="Arial" w:cs="Arial"/>
          <w:sz w:val="20"/>
          <w:szCs w:val="20"/>
          <w:lang w:val="fr-FR"/>
        </w:rPr>
      </w:pPr>
    </w:p>
    <w:sectPr w:rsidR="00C13799" w:rsidRPr="00C13799" w:rsidSect="00DC205F">
      <w:headerReference w:type="even" r:id="rId11"/>
      <w:headerReference w:type="default" r:id="rId12"/>
      <w:footerReference w:type="even" r:id="rId13"/>
      <w:footerReference w:type="default" r:id="rId14"/>
      <w:headerReference w:type="first" r:id="rId15"/>
      <w:footerReference w:type="first" r:id="rId16"/>
      <w:pgSz w:w="15840" w:h="12240" w:orient="landscape"/>
      <w:pgMar w:top="543"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B9B8" w14:textId="77777777" w:rsidR="00FD157F" w:rsidRDefault="00FD157F" w:rsidP="009521DB">
      <w:pPr>
        <w:spacing w:after="0" w:line="240" w:lineRule="auto"/>
      </w:pPr>
      <w:r>
        <w:separator/>
      </w:r>
    </w:p>
  </w:endnote>
  <w:endnote w:type="continuationSeparator" w:id="0">
    <w:p w14:paraId="1358B9B9" w14:textId="77777777" w:rsidR="00FD157F" w:rsidRDefault="00FD157F" w:rsidP="0095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B9BC" w14:textId="77777777" w:rsidR="00FD157F" w:rsidRDefault="00FD157F" w:rsidP="00DF5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58B9BD" w14:textId="77777777" w:rsidR="00FD157F" w:rsidRDefault="00FD157F" w:rsidP="00C13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B9BE" w14:textId="77777777" w:rsidR="00FD157F" w:rsidRPr="004765E6" w:rsidRDefault="00FD157F" w:rsidP="00C13799">
    <w:pPr>
      <w:pStyle w:val="Footer"/>
      <w:ind w:right="360"/>
      <w:jc w:val="right"/>
      <w:rPr>
        <w:rFonts w:ascii="Arial" w:hAnsi="Arial" w:cs="Arial"/>
        <w:sz w:val="18"/>
        <w:szCs w:val="18"/>
      </w:rPr>
    </w:pPr>
    <w:r w:rsidRPr="004765E6">
      <w:rPr>
        <w:rStyle w:val="PageNumber"/>
        <w:rFonts w:ascii="Arial" w:hAnsi="Arial" w:cs="Arial"/>
        <w:sz w:val="18"/>
        <w:szCs w:val="18"/>
      </w:rPr>
      <w:fldChar w:fldCharType="begin"/>
    </w:r>
    <w:r w:rsidRPr="004765E6">
      <w:rPr>
        <w:rStyle w:val="PageNumber"/>
        <w:rFonts w:ascii="Arial" w:hAnsi="Arial" w:cs="Arial"/>
        <w:sz w:val="18"/>
        <w:szCs w:val="18"/>
      </w:rPr>
      <w:instrText xml:space="preserve"> PAGE </w:instrText>
    </w:r>
    <w:r w:rsidRPr="004765E6">
      <w:rPr>
        <w:rStyle w:val="PageNumber"/>
        <w:rFonts w:ascii="Arial" w:hAnsi="Arial" w:cs="Arial"/>
        <w:sz w:val="18"/>
        <w:szCs w:val="18"/>
      </w:rPr>
      <w:fldChar w:fldCharType="separate"/>
    </w:r>
    <w:r w:rsidR="00DC536E">
      <w:rPr>
        <w:rStyle w:val="PageNumber"/>
        <w:rFonts w:ascii="Arial" w:hAnsi="Arial" w:cs="Arial"/>
        <w:noProof/>
        <w:sz w:val="18"/>
        <w:szCs w:val="18"/>
      </w:rPr>
      <w:t>1</w:t>
    </w:r>
    <w:r w:rsidRPr="004765E6">
      <w:rPr>
        <w:rStyle w:val="PageNumber"/>
        <w:rFonts w:ascii="Arial" w:hAnsi="Arial" w:cs="Arial"/>
        <w:sz w:val="18"/>
        <w:szCs w:val="18"/>
      </w:rPr>
      <w:fldChar w:fldCharType="end"/>
    </w:r>
    <w:r w:rsidRPr="004765E6">
      <w:rPr>
        <w:rStyle w:val="PageNumber"/>
        <w:rFonts w:ascii="Arial" w:hAnsi="Arial" w:cs="Arial"/>
        <w:sz w:val="18"/>
        <w:szCs w:val="18"/>
      </w:rPr>
      <w:t>/</w:t>
    </w:r>
    <w:r w:rsidRPr="004765E6">
      <w:rPr>
        <w:rStyle w:val="PageNumber"/>
        <w:rFonts w:ascii="Arial" w:hAnsi="Arial" w:cs="Arial"/>
        <w:sz w:val="18"/>
        <w:szCs w:val="18"/>
      </w:rPr>
      <w:fldChar w:fldCharType="begin"/>
    </w:r>
    <w:r w:rsidRPr="004765E6">
      <w:rPr>
        <w:rStyle w:val="PageNumber"/>
        <w:rFonts w:ascii="Arial" w:hAnsi="Arial" w:cs="Arial"/>
        <w:sz w:val="18"/>
        <w:szCs w:val="18"/>
      </w:rPr>
      <w:instrText xml:space="preserve"> NUMPAGES </w:instrText>
    </w:r>
    <w:r w:rsidRPr="004765E6">
      <w:rPr>
        <w:rStyle w:val="PageNumber"/>
        <w:rFonts w:ascii="Arial" w:hAnsi="Arial" w:cs="Arial"/>
        <w:sz w:val="18"/>
        <w:szCs w:val="18"/>
      </w:rPr>
      <w:fldChar w:fldCharType="separate"/>
    </w:r>
    <w:r w:rsidR="00DC536E">
      <w:rPr>
        <w:rStyle w:val="PageNumber"/>
        <w:rFonts w:ascii="Arial" w:hAnsi="Arial" w:cs="Arial"/>
        <w:noProof/>
        <w:sz w:val="18"/>
        <w:szCs w:val="18"/>
      </w:rPr>
      <w:t>9</w:t>
    </w:r>
    <w:r w:rsidRPr="004765E6">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0835" w14:textId="77777777" w:rsidR="00C044E5" w:rsidRDefault="00C0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B9B6" w14:textId="77777777" w:rsidR="00FD157F" w:rsidRDefault="00FD157F" w:rsidP="009521DB">
      <w:pPr>
        <w:spacing w:after="0" w:line="240" w:lineRule="auto"/>
      </w:pPr>
      <w:r>
        <w:separator/>
      </w:r>
    </w:p>
  </w:footnote>
  <w:footnote w:type="continuationSeparator" w:id="0">
    <w:p w14:paraId="1358B9B7" w14:textId="77777777" w:rsidR="00FD157F" w:rsidRDefault="00FD157F" w:rsidP="009521DB">
      <w:pPr>
        <w:spacing w:after="0" w:line="240" w:lineRule="auto"/>
      </w:pPr>
      <w:r>
        <w:continuationSeparator/>
      </w:r>
    </w:p>
  </w:footnote>
  <w:footnote w:id="1">
    <w:p w14:paraId="1358B9BF" w14:textId="77777777" w:rsidR="00FD157F" w:rsidRPr="004765E6" w:rsidRDefault="00FD157F" w:rsidP="009521DB">
      <w:pPr>
        <w:pStyle w:val="FootnoteText"/>
        <w:rPr>
          <w:rFonts w:ascii="Arial" w:hAnsi="Arial" w:cs="Arial"/>
          <w:sz w:val="16"/>
          <w:szCs w:val="16"/>
        </w:rPr>
      </w:pPr>
      <w:r w:rsidRPr="004765E6">
        <w:rPr>
          <w:rStyle w:val="FootnoteReference"/>
          <w:rFonts w:ascii="Arial" w:hAnsi="Arial" w:cs="Arial"/>
          <w:sz w:val="16"/>
          <w:szCs w:val="16"/>
        </w:rPr>
        <w:sym w:font="Symbol" w:char="F02A"/>
      </w:r>
      <w:r>
        <w:rPr>
          <w:rFonts w:ascii="Arial" w:hAnsi="Arial" w:cs="Arial"/>
          <w:sz w:val="16"/>
          <w:szCs w:val="16"/>
        </w:rPr>
        <w:t xml:space="preserve"> Assertions : C = exhaustivité / E = existence / A = exactitude / V = v</w:t>
      </w:r>
      <w:r w:rsidRPr="004765E6">
        <w:rPr>
          <w:rFonts w:ascii="Arial" w:hAnsi="Arial" w:cs="Arial"/>
          <w:sz w:val="16"/>
          <w:szCs w:val="16"/>
        </w:rPr>
        <w:t>alorisation</w:t>
      </w:r>
    </w:p>
  </w:footnote>
  <w:footnote w:id="2">
    <w:p w14:paraId="1358B9C0" w14:textId="77777777" w:rsidR="00FD157F" w:rsidRPr="004765E6" w:rsidRDefault="00FD157F" w:rsidP="00FD157F">
      <w:pPr>
        <w:pStyle w:val="FootnoteText"/>
        <w:rPr>
          <w:rFonts w:ascii="Arial" w:hAnsi="Arial" w:cs="Arial"/>
          <w:sz w:val="16"/>
          <w:szCs w:val="16"/>
        </w:rPr>
      </w:pPr>
      <w:r w:rsidRPr="004765E6">
        <w:rPr>
          <w:rStyle w:val="FootnoteReference"/>
          <w:rFonts w:ascii="Arial" w:hAnsi="Arial" w:cs="Arial"/>
          <w:sz w:val="16"/>
          <w:szCs w:val="16"/>
        </w:rPr>
        <w:sym w:font="Symbol" w:char="F02A"/>
      </w:r>
      <w:r>
        <w:rPr>
          <w:rFonts w:ascii="Arial" w:hAnsi="Arial" w:cs="Arial"/>
          <w:sz w:val="16"/>
          <w:szCs w:val="16"/>
        </w:rPr>
        <w:t xml:space="preserve"> Assertions : C = exhaustivité / E = existence / A = exactitude / V = v</w:t>
      </w:r>
      <w:r w:rsidRPr="004765E6">
        <w:rPr>
          <w:rFonts w:ascii="Arial" w:hAnsi="Arial" w:cs="Arial"/>
          <w:sz w:val="16"/>
          <w:szCs w:val="16"/>
        </w:rPr>
        <w:t>alorisation</w:t>
      </w:r>
    </w:p>
  </w:footnote>
  <w:footnote w:id="3">
    <w:p w14:paraId="1358B9C1" w14:textId="77777777" w:rsidR="00FD157F" w:rsidRPr="004765E6" w:rsidRDefault="00FD157F" w:rsidP="00FD157F">
      <w:pPr>
        <w:pStyle w:val="FootnoteText"/>
        <w:rPr>
          <w:rFonts w:ascii="Arial" w:hAnsi="Arial" w:cs="Arial"/>
          <w:sz w:val="16"/>
          <w:szCs w:val="16"/>
        </w:rPr>
      </w:pPr>
      <w:r w:rsidRPr="004765E6">
        <w:rPr>
          <w:rStyle w:val="FootnoteReference"/>
          <w:rFonts w:ascii="Arial" w:hAnsi="Arial" w:cs="Arial"/>
          <w:sz w:val="16"/>
          <w:szCs w:val="16"/>
        </w:rPr>
        <w:sym w:font="Symbol" w:char="F02A"/>
      </w:r>
      <w:r>
        <w:rPr>
          <w:rFonts w:ascii="Arial" w:hAnsi="Arial" w:cs="Arial"/>
          <w:sz w:val="16"/>
          <w:szCs w:val="16"/>
        </w:rPr>
        <w:t xml:space="preserve"> Assertions : C = exhaustivité / E = existence / A = exactitude / V = v</w:t>
      </w:r>
      <w:r w:rsidRPr="004765E6">
        <w:rPr>
          <w:rFonts w:ascii="Arial" w:hAnsi="Arial" w:cs="Arial"/>
          <w:sz w:val="16"/>
          <w:szCs w:val="16"/>
        </w:rPr>
        <w:t>alorisation</w:t>
      </w:r>
    </w:p>
  </w:footnote>
  <w:footnote w:id="4">
    <w:p w14:paraId="1358B9C2" w14:textId="77777777" w:rsidR="00675ADF" w:rsidRPr="004765E6" w:rsidRDefault="00675ADF" w:rsidP="00675ADF">
      <w:pPr>
        <w:pStyle w:val="FootnoteText"/>
        <w:rPr>
          <w:rFonts w:ascii="Arial" w:hAnsi="Arial" w:cs="Arial"/>
          <w:sz w:val="16"/>
          <w:szCs w:val="16"/>
        </w:rPr>
      </w:pPr>
      <w:r w:rsidRPr="004765E6">
        <w:rPr>
          <w:rStyle w:val="FootnoteReference"/>
          <w:rFonts w:ascii="Arial" w:hAnsi="Arial" w:cs="Arial"/>
          <w:sz w:val="16"/>
          <w:szCs w:val="16"/>
        </w:rPr>
        <w:sym w:font="Symbol" w:char="F02A"/>
      </w:r>
      <w:r>
        <w:rPr>
          <w:rFonts w:ascii="Arial" w:hAnsi="Arial" w:cs="Arial"/>
          <w:sz w:val="16"/>
          <w:szCs w:val="16"/>
        </w:rPr>
        <w:t xml:space="preserve"> Assertions : C = exhaustivité / E = existence / A = exactitude / V = v</w:t>
      </w:r>
      <w:r w:rsidRPr="004765E6">
        <w:rPr>
          <w:rFonts w:ascii="Arial" w:hAnsi="Arial" w:cs="Arial"/>
          <w:sz w:val="16"/>
          <w:szCs w:val="16"/>
        </w:rPr>
        <w:t>alorisation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6EDC" w14:textId="77777777" w:rsidR="00C044E5" w:rsidRDefault="00C04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B9BA" w14:textId="6EC62997" w:rsidR="00FD157F" w:rsidRDefault="00FD157F" w:rsidP="00A97B02">
    <w:pPr>
      <w:pStyle w:val="Note"/>
      <w:rPr>
        <w:b/>
        <w:sz w:val="24"/>
        <w:szCs w:val="24"/>
      </w:rPr>
    </w:pPr>
    <w:r w:rsidRPr="00A97B02">
      <w:rPr>
        <w:b/>
        <w:sz w:val="24"/>
        <w:szCs w:val="24"/>
      </w:rPr>
      <w:t>Check-list C5 – Transactions entre parties liées</w:t>
    </w:r>
  </w:p>
  <w:p w14:paraId="1358B9BB" w14:textId="234EC845" w:rsidR="00FD157F" w:rsidRPr="00251B30" w:rsidRDefault="00251B30" w:rsidP="00C044E5">
    <w:pPr>
      <w:rPr>
        <w:b/>
        <w:sz w:val="24"/>
        <w:szCs w:val="24"/>
        <w:lang w:val="fr-BE"/>
      </w:rPr>
    </w:pPr>
    <w:r w:rsidRPr="00251B30">
      <w:rPr>
        <w:rFonts w:ascii="Arial" w:hAnsi="Arial" w:cs="Arial"/>
        <w:b/>
        <w:bCs/>
        <w:i/>
        <w:iCs/>
        <w:color w:val="FF0000"/>
        <w:lang w:val="fr-BE"/>
      </w:rPr>
      <w:t>Attention, un nouvel outil a été développé par le GT ISA en 2021-2022 à ce sujet. Veuillez consulter l’outil correspondant sur  la page suivante:</w:t>
    </w:r>
    <w:r w:rsidR="00C044E5" w:rsidRPr="003A70AF">
      <w:rPr>
        <w:rFonts w:ascii="Arial" w:hAnsi="Arial" w:cs="Arial"/>
        <w:b/>
        <w:bCs/>
        <w:i/>
        <w:iCs/>
        <w:color w:val="FF0000"/>
        <w:lang w:val="fr-BE"/>
      </w:rPr>
      <w:t xml:space="preserve"> </w:t>
    </w:r>
    <w:hyperlink r:id="rId1" w:history="1">
      <w:r w:rsidR="00C044E5" w:rsidRPr="00C044E5">
        <w:rPr>
          <w:rStyle w:val="Hyperlink"/>
          <w:rFonts w:ascii="Arial" w:hAnsi="Arial" w:cs="Arial"/>
          <w:b/>
          <w:bCs/>
          <w:i/>
          <w:iCs/>
          <w:color w:val="FF0000"/>
          <w:lang w:val="fr-BE"/>
        </w:rPr>
        <w:t>https://www.icci.be/fr/publications-et-outils/mod-les-de-documents/mod-les-de-documents-detail-page/outils-pour-un-audit-isa-efficient1</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95F5" w14:textId="77777777" w:rsidR="00C044E5" w:rsidRDefault="00C04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9DC"/>
    <w:multiLevelType w:val="hybridMultilevel"/>
    <w:tmpl w:val="1DCA3D54"/>
    <w:lvl w:ilvl="0" w:tplc="04090017">
      <w:start w:val="1"/>
      <w:numFmt w:val="lowerLetter"/>
      <w:lvlText w:val="%1)"/>
      <w:lvlJc w:val="left"/>
      <w:pPr>
        <w:ind w:left="409" w:hanging="360"/>
      </w:pPr>
      <w:rPr>
        <w:rFonts w:cs="Times New Roman"/>
      </w:rPr>
    </w:lvl>
    <w:lvl w:ilvl="1" w:tplc="04090019" w:tentative="1">
      <w:start w:val="1"/>
      <w:numFmt w:val="lowerLetter"/>
      <w:lvlText w:val="%2."/>
      <w:lvlJc w:val="left"/>
      <w:pPr>
        <w:ind w:left="1129" w:hanging="360"/>
      </w:pPr>
      <w:rPr>
        <w:rFonts w:cs="Times New Roman"/>
      </w:rPr>
    </w:lvl>
    <w:lvl w:ilvl="2" w:tplc="0409001B" w:tentative="1">
      <w:start w:val="1"/>
      <w:numFmt w:val="lowerRoman"/>
      <w:lvlText w:val="%3."/>
      <w:lvlJc w:val="right"/>
      <w:pPr>
        <w:ind w:left="1849" w:hanging="180"/>
      </w:pPr>
      <w:rPr>
        <w:rFonts w:cs="Times New Roman"/>
      </w:rPr>
    </w:lvl>
    <w:lvl w:ilvl="3" w:tplc="0409000F" w:tentative="1">
      <w:start w:val="1"/>
      <w:numFmt w:val="decimal"/>
      <w:lvlText w:val="%4."/>
      <w:lvlJc w:val="left"/>
      <w:pPr>
        <w:ind w:left="2569" w:hanging="360"/>
      </w:pPr>
      <w:rPr>
        <w:rFonts w:cs="Times New Roman"/>
      </w:rPr>
    </w:lvl>
    <w:lvl w:ilvl="4" w:tplc="04090019" w:tentative="1">
      <w:start w:val="1"/>
      <w:numFmt w:val="lowerLetter"/>
      <w:lvlText w:val="%5."/>
      <w:lvlJc w:val="left"/>
      <w:pPr>
        <w:ind w:left="3289" w:hanging="360"/>
      </w:pPr>
      <w:rPr>
        <w:rFonts w:cs="Times New Roman"/>
      </w:rPr>
    </w:lvl>
    <w:lvl w:ilvl="5" w:tplc="0409001B" w:tentative="1">
      <w:start w:val="1"/>
      <w:numFmt w:val="lowerRoman"/>
      <w:lvlText w:val="%6."/>
      <w:lvlJc w:val="right"/>
      <w:pPr>
        <w:ind w:left="4009" w:hanging="180"/>
      </w:pPr>
      <w:rPr>
        <w:rFonts w:cs="Times New Roman"/>
      </w:rPr>
    </w:lvl>
    <w:lvl w:ilvl="6" w:tplc="0409000F" w:tentative="1">
      <w:start w:val="1"/>
      <w:numFmt w:val="decimal"/>
      <w:lvlText w:val="%7."/>
      <w:lvlJc w:val="left"/>
      <w:pPr>
        <w:ind w:left="4729" w:hanging="360"/>
      </w:pPr>
      <w:rPr>
        <w:rFonts w:cs="Times New Roman"/>
      </w:rPr>
    </w:lvl>
    <w:lvl w:ilvl="7" w:tplc="04090019" w:tentative="1">
      <w:start w:val="1"/>
      <w:numFmt w:val="lowerLetter"/>
      <w:lvlText w:val="%8."/>
      <w:lvlJc w:val="left"/>
      <w:pPr>
        <w:ind w:left="5449" w:hanging="360"/>
      </w:pPr>
      <w:rPr>
        <w:rFonts w:cs="Times New Roman"/>
      </w:rPr>
    </w:lvl>
    <w:lvl w:ilvl="8" w:tplc="0409001B" w:tentative="1">
      <w:start w:val="1"/>
      <w:numFmt w:val="lowerRoman"/>
      <w:lvlText w:val="%9."/>
      <w:lvlJc w:val="right"/>
      <w:pPr>
        <w:ind w:left="6169" w:hanging="180"/>
      </w:pPr>
      <w:rPr>
        <w:rFonts w:cs="Times New Roman"/>
      </w:rPr>
    </w:lvl>
  </w:abstractNum>
  <w:abstractNum w:abstractNumId="1" w15:restartNumberingAfterBreak="0">
    <w:nsid w:val="03CE2309"/>
    <w:multiLevelType w:val="hybridMultilevel"/>
    <w:tmpl w:val="9F7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C146F"/>
    <w:multiLevelType w:val="hybridMultilevel"/>
    <w:tmpl w:val="7700A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A1EF1"/>
    <w:multiLevelType w:val="hybridMultilevel"/>
    <w:tmpl w:val="5A70F9B2"/>
    <w:lvl w:ilvl="0" w:tplc="04090017">
      <w:start w:val="1"/>
      <w:numFmt w:val="lowerLetter"/>
      <w:lvlText w:val="%1)"/>
      <w:lvlJc w:val="left"/>
      <w:pPr>
        <w:ind w:left="1052" w:hanging="360"/>
      </w:pPr>
      <w:rPr>
        <w:rFonts w:cs="Times New Roman"/>
      </w:rPr>
    </w:lvl>
    <w:lvl w:ilvl="1" w:tplc="04090019" w:tentative="1">
      <w:start w:val="1"/>
      <w:numFmt w:val="lowerLetter"/>
      <w:lvlText w:val="%2."/>
      <w:lvlJc w:val="left"/>
      <w:pPr>
        <w:ind w:left="1772" w:hanging="360"/>
      </w:pPr>
      <w:rPr>
        <w:rFonts w:cs="Times New Roman"/>
      </w:rPr>
    </w:lvl>
    <w:lvl w:ilvl="2" w:tplc="0409001B" w:tentative="1">
      <w:start w:val="1"/>
      <w:numFmt w:val="lowerRoman"/>
      <w:lvlText w:val="%3."/>
      <w:lvlJc w:val="right"/>
      <w:pPr>
        <w:ind w:left="2492" w:hanging="180"/>
      </w:pPr>
      <w:rPr>
        <w:rFonts w:cs="Times New Roman"/>
      </w:rPr>
    </w:lvl>
    <w:lvl w:ilvl="3" w:tplc="0409000F" w:tentative="1">
      <w:start w:val="1"/>
      <w:numFmt w:val="decimal"/>
      <w:lvlText w:val="%4."/>
      <w:lvlJc w:val="left"/>
      <w:pPr>
        <w:ind w:left="3212" w:hanging="360"/>
      </w:pPr>
      <w:rPr>
        <w:rFonts w:cs="Times New Roman"/>
      </w:rPr>
    </w:lvl>
    <w:lvl w:ilvl="4" w:tplc="04090019" w:tentative="1">
      <w:start w:val="1"/>
      <w:numFmt w:val="lowerLetter"/>
      <w:lvlText w:val="%5."/>
      <w:lvlJc w:val="left"/>
      <w:pPr>
        <w:ind w:left="3932" w:hanging="360"/>
      </w:pPr>
      <w:rPr>
        <w:rFonts w:cs="Times New Roman"/>
      </w:rPr>
    </w:lvl>
    <w:lvl w:ilvl="5" w:tplc="0409001B" w:tentative="1">
      <w:start w:val="1"/>
      <w:numFmt w:val="lowerRoman"/>
      <w:lvlText w:val="%6."/>
      <w:lvlJc w:val="right"/>
      <w:pPr>
        <w:ind w:left="4652" w:hanging="180"/>
      </w:pPr>
      <w:rPr>
        <w:rFonts w:cs="Times New Roman"/>
      </w:rPr>
    </w:lvl>
    <w:lvl w:ilvl="6" w:tplc="0409000F" w:tentative="1">
      <w:start w:val="1"/>
      <w:numFmt w:val="decimal"/>
      <w:lvlText w:val="%7."/>
      <w:lvlJc w:val="left"/>
      <w:pPr>
        <w:ind w:left="5372" w:hanging="360"/>
      </w:pPr>
      <w:rPr>
        <w:rFonts w:cs="Times New Roman"/>
      </w:rPr>
    </w:lvl>
    <w:lvl w:ilvl="7" w:tplc="04090019" w:tentative="1">
      <w:start w:val="1"/>
      <w:numFmt w:val="lowerLetter"/>
      <w:lvlText w:val="%8."/>
      <w:lvlJc w:val="left"/>
      <w:pPr>
        <w:ind w:left="6092" w:hanging="360"/>
      </w:pPr>
      <w:rPr>
        <w:rFonts w:cs="Times New Roman"/>
      </w:rPr>
    </w:lvl>
    <w:lvl w:ilvl="8" w:tplc="0409001B" w:tentative="1">
      <w:start w:val="1"/>
      <w:numFmt w:val="lowerRoman"/>
      <w:lvlText w:val="%9."/>
      <w:lvlJc w:val="right"/>
      <w:pPr>
        <w:ind w:left="6812" w:hanging="180"/>
      </w:pPr>
      <w:rPr>
        <w:rFonts w:cs="Times New Roman"/>
      </w:rPr>
    </w:lvl>
  </w:abstractNum>
  <w:abstractNum w:abstractNumId="4" w15:restartNumberingAfterBreak="0">
    <w:nsid w:val="07CB307E"/>
    <w:multiLevelType w:val="hybridMultilevel"/>
    <w:tmpl w:val="2BCC7BD2"/>
    <w:lvl w:ilvl="0" w:tplc="7F623098">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4D6C44"/>
    <w:multiLevelType w:val="hybridMultilevel"/>
    <w:tmpl w:val="FD00A9CA"/>
    <w:lvl w:ilvl="0" w:tplc="0409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6" w15:restartNumberingAfterBreak="0">
    <w:nsid w:val="0CEC7884"/>
    <w:multiLevelType w:val="hybridMultilevel"/>
    <w:tmpl w:val="8C924002"/>
    <w:lvl w:ilvl="0" w:tplc="66D440B4">
      <w:start w:val="1"/>
      <w:numFmt w:val="lowerLetter"/>
      <w:lvlText w:val="%1)"/>
      <w:lvlJc w:val="left"/>
      <w:pPr>
        <w:ind w:left="694" w:hanging="360"/>
      </w:pPr>
      <w:rPr>
        <w:rFonts w:cs="Times New Roman" w:hint="default"/>
      </w:rPr>
    </w:lvl>
    <w:lvl w:ilvl="1" w:tplc="04090019" w:tentative="1">
      <w:start w:val="1"/>
      <w:numFmt w:val="lowerLetter"/>
      <w:lvlText w:val="%2."/>
      <w:lvlJc w:val="left"/>
      <w:pPr>
        <w:ind w:left="1414" w:hanging="360"/>
      </w:pPr>
      <w:rPr>
        <w:rFonts w:cs="Times New Roman"/>
      </w:rPr>
    </w:lvl>
    <w:lvl w:ilvl="2" w:tplc="0409001B" w:tentative="1">
      <w:start w:val="1"/>
      <w:numFmt w:val="lowerRoman"/>
      <w:lvlText w:val="%3."/>
      <w:lvlJc w:val="right"/>
      <w:pPr>
        <w:ind w:left="2134" w:hanging="180"/>
      </w:pPr>
      <w:rPr>
        <w:rFonts w:cs="Times New Roman"/>
      </w:rPr>
    </w:lvl>
    <w:lvl w:ilvl="3" w:tplc="0409000F" w:tentative="1">
      <w:start w:val="1"/>
      <w:numFmt w:val="decimal"/>
      <w:lvlText w:val="%4."/>
      <w:lvlJc w:val="left"/>
      <w:pPr>
        <w:ind w:left="2854" w:hanging="360"/>
      </w:pPr>
      <w:rPr>
        <w:rFonts w:cs="Times New Roman"/>
      </w:rPr>
    </w:lvl>
    <w:lvl w:ilvl="4" w:tplc="04090019" w:tentative="1">
      <w:start w:val="1"/>
      <w:numFmt w:val="lowerLetter"/>
      <w:lvlText w:val="%5."/>
      <w:lvlJc w:val="left"/>
      <w:pPr>
        <w:ind w:left="3574" w:hanging="360"/>
      </w:pPr>
      <w:rPr>
        <w:rFonts w:cs="Times New Roman"/>
      </w:rPr>
    </w:lvl>
    <w:lvl w:ilvl="5" w:tplc="0409001B" w:tentative="1">
      <w:start w:val="1"/>
      <w:numFmt w:val="lowerRoman"/>
      <w:lvlText w:val="%6."/>
      <w:lvlJc w:val="right"/>
      <w:pPr>
        <w:ind w:left="4294" w:hanging="180"/>
      </w:pPr>
      <w:rPr>
        <w:rFonts w:cs="Times New Roman"/>
      </w:rPr>
    </w:lvl>
    <w:lvl w:ilvl="6" w:tplc="0409000F" w:tentative="1">
      <w:start w:val="1"/>
      <w:numFmt w:val="decimal"/>
      <w:lvlText w:val="%7."/>
      <w:lvlJc w:val="left"/>
      <w:pPr>
        <w:ind w:left="5014" w:hanging="360"/>
      </w:pPr>
      <w:rPr>
        <w:rFonts w:cs="Times New Roman"/>
      </w:rPr>
    </w:lvl>
    <w:lvl w:ilvl="7" w:tplc="04090019" w:tentative="1">
      <w:start w:val="1"/>
      <w:numFmt w:val="lowerLetter"/>
      <w:lvlText w:val="%8."/>
      <w:lvlJc w:val="left"/>
      <w:pPr>
        <w:ind w:left="5734" w:hanging="360"/>
      </w:pPr>
      <w:rPr>
        <w:rFonts w:cs="Times New Roman"/>
      </w:rPr>
    </w:lvl>
    <w:lvl w:ilvl="8" w:tplc="0409001B" w:tentative="1">
      <w:start w:val="1"/>
      <w:numFmt w:val="lowerRoman"/>
      <w:lvlText w:val="%9."/>
      <w:lvlJc w:val="right"/>
      <w:pPr>
        <w:ind w:left="6454" w:hanging="180"/>
      </w:pPr>
      <w:rPr>
        <w:rFonts w:cs="Times New Roman"/>
      </w:rPr>
    </w:lvl>
  </w:abstractNum>
  <w:abstractNum w:abstractNumId="7" w15:restartNumberingAfterBreak="0">
    <w:nsid w:val="0D5521DA"/>
    <w:multiLevelType w:val="hybridMultilevel"/>
    <w:tmpl w:val="A22CFCBA"/>
    <w:lvl w:ilvl="0" w:tplc="7F6230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26236"/>
    <w:multiLevelType w:val="hybridMultilevel"/>
    <w:tmpl w:val="3AAC46FC"/>
    <w:lvl w:ilvl="0" w:tplc="3A52CF2A">
      <w:start w:val="1"/>
      <w:numFmt w:val="lowerLetter"/>
      <w:lvlText w:val="%1)"/>
      <w:lvlJc w:val="left"/>
      <w:pPr>
        <w:ind w:left="551" w:hanging="360"/>
      </w:pPr>
      <w:rPr>
        <w:rFonts w:cs="Times New Roman" w:hint="default"/>
      </w:rPr>
    </w:lvl>
    <w:lvl w:ilvl="1" w:tplc="04090019" w:tentative="1">
      <w:start w:val="1"/>
      <w:numFmt w:val="lowerLetter"/>
      <w:lvlText w:val="%2."/>
      <w:lvlJc w:val="left"/>
      <w:pPr>
        <w:ind w:left="1271" w:hanging="360"/>
      </w:pPr>
      <w:rPr>
        <w:rFonts w:cs="Times New Roman"/>
      </w:rPr>
    </w:lvl>
    <w:lvl w:ilvl="2" w:tplc="0409001B" w:tentative="1">
      <w:start w:val="1"/>
      <w:numFmt w:val="lowerRoman"/>
      <w:lvlText w:val="%3."/>
      <w:lvlJc w:val="right"/>
      <w:pPr>
        <w:ind w:left="1991" w:hanging="180"/>
      </w:pPr>
      <w:rPr>
        <w:rFonts w:cs="Times New Roman"/>
      </w:rPr>
    </w:lvl>
    <w:lvl w:ilvl="3" w:tplc="0409000F" w:tentative="1">
      <w:start w:val="1"/>
      <w:numFmt w:val="decimal"/>
      <w:lvlText w:val="%4."/>
      <w:lvlJc w:val="left"/>
      <w:pPr>
        <w:ind w:left="2711" w:hanging="360"/>
      </w:pPr>
      <w:rPr>
        <w:rFonts w:cs="Times New Roman"/>
      </w:rPr>
    </w:lvl>
    <w:lvl w:ilvl="4" w:tplc="04090019" w:tentative="1">
      <w:start w:val="1"/>
      <w:numFmt w:val="lowerLetter"/>
      <w:lvlText w:val="%5."/>
      <w:lvlJc w:val="left"/>
      <w:pPr>
        <w:ind w:left="3431" w:hanging="360"/>
      </w:pPr>
      <w:rPr>
        <w:rFonts w:cs="Times New Roman"/>
      </w:rPr>
    </w:lvl>
    <w:lvl w:ilvl="5" w:tplc="0409001B" w:tentative="1">
      <w:start w:val="1"/>
      <w:numFmt w:val="lowerRoman"/>
      <w:lvlText w:val="%6."/>
      <w:lvlJc w:val="right"/>
      <w:pPr>
        <w:ind w:left="4151" w:hanging="180"/>
      </w:pPr>
      <w:rPr>
        <w:rFonts w:cs="Times New Roman"/>
      </w:rPr>
    </w:lvl>
    <w:lvl w:ilvl="6" w:tplc="0409000F" w:tentative="1">
      <w:start w:val="1"/>
      <w:numFmt w:val="decimal"/>
      <w:lvlText w:val="%7."/>
      <w:lvlJc w:val="left"/>
      <w:pPr>
        <w:ind w:left="4871" w:hanging="360"/>
      </w:pPr>
      <w:rPr>
        <w:rFonts w:cs="Times New Roman"/>
      </w:rPr>
    </w:lvl>
    <w:lvl w:ilvl="7" w:tplc="04090019" w:tentative="1">
      <w:start w:val="1"/>
      <w:numFmt w:val="lowerLetter"/>
      <w:lvlText w:val="%8."/>
      <w:lvlJc w:val="left"/>
      <w:pPr>
        <w:ind w:left="5591" w:hanging="360"/>
      </w:pPr>
      <w:rPr>
        <w:rFonts w:cs="Times New Roman"/>
      </w:rPr>
    </w:lvl>
    <w:lvl w:ilvl="8" w:tplc="0409001B" w:tentative="1">
      <w:start w:val="1"/>
      <w:numFmt w:val="lowerRoman"/>
      <w:lvlText w:val="%9."/>
      <w:lvlJc w:val="right"/>
      <w:pPr>
        <w:ind w:left="6311" w:hanging="180"/>
      </w:pPr>
      <w:rPr>
        <w:rFonts w:cs="Times New Roman"/>
      </w:rPr>
    </w:lvl>
  </w:abstractNum>
  <w:abstractNum w:abstractNumId="9" w15:restartNumberingAfterBreak="0">
    <w:nsid w:val="140A7239"/>
    <w:multiLevelType w:val="hybridMultilevel"/>
    <w:tmpl w:val="86C8286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5CE3A77"/>
    <w:multiLevelType w:val="hybridMultilevel"/>
    <w:tmpl w:val="613E23CC"/>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671F55"/>
    <w:multiLevelType w:val="hybridMultilevel"/>
    <w:tmpl w:val="8D52EA58"/>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E2472E7"/>
    <w:multiLevelType w:val="hybridMultilevel"/>
    <w:tmpl w:val="9D24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80015"/>
    <w:multiLevelType w:val="hybridMultilevel"/>
    <w:tmpl w:val="CA8015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3291B0F"/>
    <w:multiLevelType w:val="hybridMultilevel"/>
    <w:tmpl w:val="2BE8D456"/>
    <w:lvl w:ilvl="0" w:tplc="116EEDFA">
      <w:start w:val="1"/>
      <w:numFmt w:val="lowerLetter"/>
      <w:lvlText w:val="%1)"/>
      <w:lvlJc w:val="left"/>
      <w:pPr>
        <w:ind w:left="692" w:hanging="360"/>
      </w:pPr>
      <w:rPr>
        <w:rFonts w:cs="Times New Roman" w:hint="default"/>
      </w:rPr>
    </w:lvl>
    <w:lvl w:ilvl="1" w:tplc="04090019" w:tentative="1">
      <w:start w:val="1"/>
      <w:numFmt w:val="lowerLetter"/>
      <w:lvlText w:val="%2."/>
      <w:lvlJc w:val="left"/>
      <w:pPr>
        <w:ind w:left="1412" w:hanging="360"/>
      </w:pPr>
      <w:rPr>
        <w:rFonts w:cs="Times New Roman"/>
      </w:rPr>
    </w:lvl>
    <w:lvl w:ilvl="2" w:tplc="0409001B" w:tentative="1">
      <w:start w:val="1"/>
      <w:numFmt w:val="lowerRoman"/>
      <w:lvlText w:val="%3."/>
      <w:lvlJc w:val="right"/>
      <w:pPr>
        <w:ind w:left="2132" w:hanging="180"/>
      </w:pPr>
      <w:rPr>
        <w:rFonts w:cs="Times New Roman"/>
      </w:rPr>
    </w:lvl>
    <w:lvl w:ilvl="3" w:tplc="0409000F" w:tentative="1">
      <w:start w:val="1"/>
      <w:numFmt w:val="decimal"/>
      <w:lvlText w:val="%4."/>
      <w:lvlJc w:val="left"/>
      <w:pPr>
        <w:ind w:left="2852" w:hanging="360"/>
      </w:pPr>
      <w:rPr>
        <w:rFonts w:cs="Times New Roman"/>
      </w:rPr>
    </w:lvl>
    <w:lvl w:ilvl="4" w:tplc="04090019" w:tentative="1">
      <w:start w:val="1"/>
      <w:numFmt w:val="lowerLetter"/>
      <w:lvlText w:val="%5."/>
      <w:lvlJc w:val="left"/>
      <w:pPr>
        <w:ind w:left="3572" w:hanging="360"/>
      </w:pPr>
      <w:rPr>
        <w:rFonts w:cs="Times New Roman"/>
      </w:rPr>
    </w:lvl>
    <w:lvl w:ilvl="5" w:tplc="0409001B" w:tentative="1">
      <w:start w:val="1"/>
      <w:numFmt w:val="lowerRoman"/>
      <w:lvlText w:val="%6."/>
      <w:lvlJc w:val="right"/>
      <w:pPr>
        <w:ind w:left="4292" w:hanging="180"/>
      </w:pPr>
      <w:rPr>
        <w:rFonts w:cs="Times New Roman"/>
      </w:rPr>
    </w:lvl>
    <w:lvl w:ilvl="6" w:tplc="0409000F" w:tentative="1">
      <w:start w:val="1"/>
      <w:numFmt w:val="decimal"/>
      <w:lvlText w:val="%7."/>
      <w:lvlJc w:val="left"/>
      <w:pPr>
        <w:ind w:left="5012" w:hanging="360"/>
      </w:pPr>
      <w:rPr>
        <w:rFonts w:cs="Times New Roman"/>
      </w:rPr>
    </w:lvl>
    <w:lvl w:ilvl="7" w:tplc="04090019" w:tentative="1">
      <w:start w:val="1"/>
      <w:numFmt w:val="lowerLetter"/>
      <w:lvlText w:val="%8."/>
      <w:lvlJc w:val="left"/>
      <w:pPr>
        <w:ind w:left="5732" w:hanging="360"/>
      </w:pPr>
      <w:rPr>
        <w:rFonts w:cs="Times New Roman"/>
      </w:rPr>
    </w:lvl>
    <w:lvl w:ilvl="8" w:tplc="0409001B" w:tentative="1">
      <w:start w:val="1"/>
      <w:numFmt w:val="lowerRoman"/>
      <w:lvlText w:val="%9."/>
      <w:lvlJc w:val="right"/>
      <w:pPr>
        <w:ind w:left="6452" w:hanging="180"/>
      </w:pPr>
      <w:rPr>
        <w:rFonts w:cs="Times New Roman"/>
      </w:rPr>
    </w:lvl>
  </w:abstractNum>
  <w:abstractNum w:abstractNumId="15" w15:restartNumberingAfterBreak="0">
    <w:nsid w:val="2B6A3056"/>
    <w:multiLevelType w:val="hybridMultilevel"/>
    <w:tmpl w:val="267A8F58"/>
    <w:lvl w:ilvl="0" w:tplc="84C2680C">
      <w:start w:val="1"/>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5F7273"/>
    <w:multiLevelType w:val="hybridMultilevel"/>
    <w:tmpl w:val="8600163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2D3C0AA4"/>
    <w:multiLevelType w:val="hybridMultilevel"/>
    <w:tmpl w:val="C69A8C1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DAB4078"/>
    <w:multiLevelType w:val="hybridMultilevel"/>
    <w:tmpl w:val="ED9C2CBE"/>
    <w:lvl w:ilvl="0" w:tplc="7F6230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F0E56"/>
    <w:multiLevelType w:val="hybridMultilevel"/>
    <w:tmpl w:val="267A8F58"/>
    <w:lvl w:ilvl="0" w:tplc="84C2680C">
      <w:start w:val="1"/>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675F88"/>
    <w:multiLevelType w:val="hybridMultilevel"/>
    <w:tmpl w:val="6644B268"/>
    <w:lvl w:ilvl="0" w:tplc="38E2A7D0">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3A73006"/>
    <w:multiLevelType w:val="hybridMultilevel"/>
    <w:tmpl w:val="37785118"/>
    <w:lvl w:ilvl="0" w:tplc="587CE4A8">
      <w:start w:val="1"/>
      <w:numFmt w:val="decimal"/>
      <w:lvlText w:val="%1."/>
      <w:lvlJc w:val="left"/>
      <w:pPr>
        <w:ind w:left="360" w:hanging="360"/>
      </w:pPr>
      <w:rPr>
        <w:rFonts w:cs="Times New Roman" w:hint="default"/>
        <w:b/>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22" w15:restartNumberingAfterBreak="0">
    <w:nsid w:val="475F5822"/>
    <w:multiLevelType w:val="hybridMultilevel"/>
    <w:tmpl w:val="C97AD02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4EBD6DD1"/>
    <w:multiLevelType w:val="hybridMultilevel"/>
    <w:tmpl w:val="6BBC7B08"/>
    <w:lvl w:ilvl="0" w:tplc="7F62309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726337"/>
    <w:multiLevelType w:val="hybridMultilevel"/>
    <w:tmpl w:val="2D7E8620"/>
    <w:lvl w:ilvl="0" w:tplc="B3CE71F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34F38F0"/>
    <w:multiLevelType w:val="hybridMultilevel"/>
    <w:tmpl w:val="9ABE128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572C72A6"/>
    <w:multiLevelType w:val="hybridMultilevel"/>
    <w:tmpl w:val="C5BA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203C6"/>
    <w:multiLevelType w:val="hybridMultilevel"/>
    <w:tmpl w:val="E02E01AC"/>
    <w:lvl w:ilvl="0" w:tplc="04090017">
      <w:start w:val="1"/>
      <w:numFmt w:val="lowerLetter"/>
      <w:lvlText w:val="%1)"/>
      <w:lvlJc w:val="left"/>
      <w:pPr>
        <w:ind w:left="1054" w:hanging="360"/>
      </w:pPr>
      <w:rPr>
        <w:rFonts w:cs="Times New Roman"/>
      </w:rPr>
    </w:lvl>
    <w:lvl w:ilvl="1" w:tplc="04090019" w:tentative="1">
      <w:start w:val="1"/>
      <w:numFmt w:val="lowerLetter"/>
      <w:lvlText w:val="%2."/>
      <w:lvlJc w:val="left"/>
      <w:pPr>
        <w:ind w:left="1774" w:hanging="360"/>
      </w:pPr>
      <w:rPr>
        <w:rFonts w:cs="Times New Roman"/>
      </w:rPr>
    </w:lvl>
    <w:lvl w:ilvl="2" w:tplc="0409001B" w:tentative="1">
      <w:start w:val="1"/>
      <w:numFmt w:val="lowerRoman"/>
      <w:lvlText w:val="%3."/>
      <w:lvlJc w:val="right"/>
      <w:pPr>
        <w:ind w:left="2494" w:hanging="180"/>
      </w:pPr>
      <w:rPr>
        <w:rFonts w:cs="Times New Roman"/>
      </w:rPr>
    </w:lvl>
    <w:lvl w:ilvl="3" w:tplc="0409000F" w:tentative="1">
      <w:start w:val="1"/>
      <w:numFmt w:val="decimal"/>
      <w:lvlText w:val="%4."/>
      <w:lvlJc w:val="left"/>
      <w:pPr>
        <w:ind w:left="3214" w:hanging="360"/>
      </w:pPr>
      <w:rPr>
        <w:rFonts w:cs="Times New Roman"/>
      </w:rPr>
    </w:lvl>
    <w:lvl w:ilvl="4" w:tplc="04090019" w:tentative="1">
      <w:start w:val="1"/>
      <w:numFmt w:val="lowerLetter"/>
      <w:lvlText w:val="%5."/>
      <w:lvlJc w:val="left"/>
      <w:pPr>
        <w:ind w:left="3934" w:hanging="360"/>
      </w:pPr>
      <w:rPr>
        <w:rFonts w:cs="Times New Roman"/>
      </w:rPr>
    </w:lvl>
    <w:lvl w:ilvl="5" w:tplc="0409001B" w:tentative="1">
      <w:start w:val="1"/>
      <w:numFmt w:val="lowerRoman"/>
      <w:lvlText w:val="%6."/>
      <w:lvlJc w:val="right"/>
      <w:pPr>
        <w:ind w:left="4654" w:hanging="180"/>
      </w:pPr>
      <w:rPr>
        <w:rFonts w:cs="Times New Roman"/>
      </w:rPr>
    </w:lvl>
    <w:lvl w:ilvl="6" w:tplc="0409000F" w:tentative="1">
      <w:start w:val="1"/>
      <w:numFmt w:val="decimal"/>
      <w:lvlText w:val="%7."/>
      <w:lvlJc w:val="left"/>
      <w:pPr>
        <w:ind w:left="5374" w:hanging="360"/>
      </w:pPr>
      <w:rPr>
        <w:rFonts w:cs="Times New Roman"/>
      </w:rPr>
    </w:lvl>
    <w:lvl w:ilvl="7" w:tplc="04090019" w:tentative="1">
      <w:start w:val="1"/>
      <w:numFmt w:val="lowerLetter"/>
      <w:lvlText w:val="%8."/>
      <w:lvlJc w:val="left"/>
      <w:pPr>
        <w:ind w:left="6094" w:hanging="360"/>
      </w:pPr>
      <w:rPr>
        <w:rFonts w:cs="Times New Roman"/>
      </w:rPr>
    </w:lvl>
    <w:lvl w:ilvl="8" w:tplc="0409001B" w:tentative="1">
      <w:start w:val="1"/>
      <w:numFmt w:val="lowerRoman"/>
      <w:lvlText w:val="%9."/>
      <w:lvlJc w:val="right"/>
      <w:pPr>
        <w:ind w:left="6814" w:hanging="180"/>
      </w:pPr>
      <w:rPr>
        <w:rFonts w:cs="Times New Roman"/>
      </w:rPr>
    </w:lvl>
  </w:abstractNum>
  <w:abstractNum w:abstractNumId="28" w15:restartNumberingAfterBreak="0">
    <w:nsid w:val="5C137E89"/>
    <w:multiLevelType w:val="hybridMultilevel"/>
    <w:tmpl w:val="0338CE0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D5A19DD"/>
    <w:multiLevelType w:val="hybridMultilevel"/>
    <w:tmpl w:val="BF5E0B9A"/>
    <w:lvl w:ilvl="0" w:tplc="7F623098">
      <w:start w:val="1"/>
      <w:numFmt w:val="bullet"/>
      <w:lvlText w:val="–"/>
      <w:lvlJc w:val="left"/>
      <w:pPr>
        <w:ind w:left="768" w:hanging="360"/>
      </w:pPr>
      <w:rPr>
        <w:rFonts w:ascii="Arial" w:hAnsi="Aria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5DF1282A"/>
    <w:multiLevelType w:val="hybridMultilevel"/>
    <w:tmpl w:val="3AAAE604"/>
    <w:lvl w:ilvl="0" w:tplc="B3CE71FE">
      <w:start w:val="1"/>
      <w:numFmt w:val="lowerLetter"/>
      <w:lvlText w:val="%1)"/>
      <w:lvlJc w:val="left"/>
      <w:pPr>
        <w:ind w:left="1028" w:hanging="360"/>
      </w:pPr>
      <w:rPr>
        <w:rFonts w:cs="Times New Roman" w:hint="default"/>
      </w:rPr>
    </w:lvl>
    <w:lvl w:ilvl="1" w:tplc="04090019" w:tentative="1">
      <w:start w:val="1"/>
      <w:numFmt w:val="lowerLetter"/>
      <w:lvlText w:val="%2."/>
      <w:lvlJc w:val="left"/>
      <w:pPr>
        <w:ind w:left="1774" w:hanging="360"/>
      </w:pPr>
      <w:rPr>
        <w:rFonts w:cs="Times New Roman"/>
      </w:rPr>
    </w:lvl>
    <w:lvl w:ilvl="2" w:tplc="0409001B" w:tentative="1">
      <w:start w:val="1"/>
      <w:numFmt w:val="lowerRoman"/>
      <w:lvlText w:val="%3."/>
      <w:lvlJc w:val="right"/>
      <w:pPr>
        <w:ind w:left="2494" w:hanging="180"/>
      </w:pPr>
      <w:rPr>
        <w:rFonts w:cs="Times New Roman"/>
      </w:rPr>
    </w:lvl>
    <w:lvl w:ilvl="3" w:tplc="0409000F" w:tentative="1">
      <w:start w:val="1"/>
      <w:numFmt w:val="decimal"/>
      <w:lvlText w:val="%4."/>
      <w:lvlJc w:val="left"/>
      <w:pPr>
        <w:ind w:left="3214" w:hanging="360"/>
      </w:pPr>
      <w:rPr>
        <w:rFonts w:cs="Times New Roman"/>
      </w:rPr>
    </w:lvl>
    <w:lvl w:ilvl="4" w:tplc="04090019" w:tentative="1">
      <w:start w:val="1"/>
      <w:numFmt w:val="lowerLetter"/>
      <w:lvlText w:val="%5."/>
      <w:lvlJc w:val="left"/>
      <w:pPr>
        <w:ind w:left="3934" w:hanging="360"/>
      </w:pPr>
      <w:rPr>
        <w:rFonts w:cs="Times New Roman"/>
      </w:rPr>
    </w:lvl>
    <w:lvl w:ilvl="5" w:tplc="0409001B" w:tentative="1">
      <w:start w:val="1"/>
      <w:numFmt w:val="lowerRoman"/>
      <w:lvlText w:val="%6."/>
      <w:lvlJc w:val="right"/>
      <w:pPr>
        <w:ind w:left="4654" w:hanging="180"/>
      </w:pPr>
      <w:rPr>
        <w:rFonts w:cs="Times New Roman"/>
      </w:rPr>
    </w:lvl>
    <w:lvl w:ilvl="6" w:tplc="0409000F" w:tentative="1">
      <w:start w:val="1"/>
      <w:numFmt w:val="decimal"/>
      <w:lvlText w:val="%7."/>
      <w:lvlJc w:val="left"/>
      <w:pPr>
        <w:ind w:left="5374" w:hanging="360"/>
      </w:pPr>
      <w:rPr>
        <w:rFonts w:cs="Times New Roman"/>
      </w:rPr>
    </w:lvl>
    <w:lvl w:ilvl="7" w:tplc="04090019" w:tentative="1">
      <w:start w:val="1"/>
      <w:numFmt w:val="lowerLetter"/>
      <w:lvlText w:val="%8."/>
      <w:lvlJc w:val="left"/>
      <w:pPr>
        <w:ind w:left="6094" w:hanging="360"/>
      </w:pPr>
      <w:rPr>
        <w:rFonts w:cs="Times New Roman"/>
      </w:rPr>
    </w:lvl>
    <w:lvl w:ilvl="8" w:tplc="0409001B" w:tentative="1">
      <w:start w:val="1"/>
      <w:numFmt w:val="lowerRoman"/>
      <w:lvlText w:val="%9."/>
      <w:lvlJc w:val="right"/>
      <w:pPr>
        <w:ind w:left="6814" w:hanging="180"/>
      </w:pPr>
      <w:rPr>
        <w:rFonts w:cs="Times New Roman"/>
      </w:rPr>
    </w:lvl>
  </w:abstractNum>
  <w:abstractNum w:abstractNumId="31" w15:restartNumberingAfterBreak="0">
    <w:nsid w:val="60817D06"/>
    <w:multiLevelType w:val="hybridMultilevel"/>
    <w:tmpl w:val="6028521C"/>
    <w:lvl w:ilvl="0" w:tplc="04090017">
      <w:start w:val="1"/>
      <w:numFmt w:val="lowerLetter"/>
      <w:lvlText w:val="%1)"/>
      <w:lvlJc w:val="left"/>
      <w:pPr>
        <w:ind w:left="1052" w:hanging="360"/>
      </w:pPr>
      <w:rPr>
        <w:rFonts w:cs="Times New Roman"/>
      </w:rPr>
    </w:lvl>
    <w:lvl w:ilvl="1" w:tplc="04090019" w:tentative="1">
      <w:start w:val="1"/>
      <w:numFmt w:val="lowerLetter"/>
      <w:lvlText w:val="%2."/>
      <w:lvlJc w:val="left"/>
      <w:pPr>
        <w:ind w:left="1772" w:hanging="360"/>
      </w:pPr>
      <w:rPr>
        <w:rFonts w:cs="Times New Roman"/>
      </w:rPr>
    </w:lvl>
    <w:lvl w:ilvl="2" w:tplc="0409001B" w:tentative="1">
      <w:start w:val="1"/>
      <w:numFmt w:val="lowerRoman"/>
      <w:lvlText w:val="%3."/>
      <w:lvlJc w:val="right"/>
      <w:pPr>
        <w:ind w:left="2492" w:hanging="180"/>
      </w:pPr>
      <w:rPr>
        <w:rFonts w:cs="Times New Roman"/>
      </w:rPr>
    </w:lvl>
    <w:lvl w:ilvl="3" w:tplc="0409000F" w:tentative="1">
      <w:start w:val="1"/>
      <w:numFmt w:val="decimal"/>
      <w:lvlText w:val="%4."/>
      <w:lvlJc w:val="left"/>
      <w:pPr>
        <w:ind w:left="3212" w:hanging="360"/>
      </w:pPr>
      <w:rPr>
        <w:rFonts w:cs="Times New Roman"/>
      </w:rPr>
    </w:lvl>
    <w:lvl w:ilvl="4" w:tplc="04090019" w:tentative="1">
      <w:start w:val="1"/>
      <w:numFmt w:val="lowerLetter"/>
      <w:lvlText w:val="%5."/>
      <w:lvlJc w:val="left"/>
      <w:pPr>
        <w:ind w:left="3932" w:hanging="360"/>
      </w:pPr>
      <w:rPr>
        <w:rFonts w:cs="Times New Roman"/>
      </w:rPr>
    </w:lvl>
    <w:lvl w:ilvl="5" w:tplc="0409001B" w:tentative="1">
      <w:start w:val="1"/>
      <w:numFmt w:val="lowerRoman"/>
      <w:lvlText w:val="%6."/>
      <w:lvlJc w:val="right"/>
      <w:pPr>
        <w:ind w:left="4652" w:hanging="180"/>
      </w:pPr>
      <w:rPr>
        <w:rFonts w:cs="Times New Roman"/>
      </w:rPr>
    </w:lvl>
    <w:lvl w:ilvl="6" w:tplc="0409000F" w:tentative="1">
      <w:start w:val="1"/>
      <w:numFmt w:val="decimal"/>
      <w:lvlText w:val="%7."/>
      <w:lvlJc w:val="left"/>
      <w:pPr>
        <w:ind w:left="5372" w:hanging="360"/>
      </w:pPr>
      <w:rPr>
        <w:rFonts w:cs="Times New Roman"/>
      </w:rPr>
    </w:lvl>
    <w:lvl w:ilvl="7" w:tplc="04090019" w:tentative="1">
      <w:start w:val="1"/>
      <w:numFmt w:val="lowerLetter"/>
      <w:lvlText w:val="%8."/>
      <w:lvlJc w:val="left"/>
      <w:pPr>
        <w:ind w:left="6092" w:hanging="360"/>
      </w:pPr>
      <w:rPr>
        <w:rFonts w:cs="Times New Roman"/>
      </w:rPr>
    </w:lvl>
    <w:lvl w:ilvl="8" w:tplc="0409001B" w:tentative="1">
      <w:start w:val="1"/>
      <w:numFmt w:val="lowerRoman"/>
      <w:lvlText w:val="%9."/>
      <w:lvlJc w:val="right"/>
      <w:pPr>
        <w:ind w:left="6812" w:hanging="180"/>
      </w:pPr>
      <w:rPr>
        <w:rFonts w:cs="Times New Roman"/>
      </w:rPr>
    </w:lvl>
  </w:abstractNum>
  <w:abstractNum w:abstractNumId="32" w15:restartNumberingAfterBreak="0">
    <w:nsid w:val="61D57F61"/>
    <w:multiLevelType w:val="hybridMultilevel"/>
    <w:tmpl w:val="FE62846E"/>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3" w15:restartNumberingAfterBreak="0">
    <w:nsid w:val="6279043C"/>
    <w:multiLevelType w:val="hybridMultilevel"/>
    <w:tmpl w:val="A9BCFB0A"/>
    <w:lvl w:ilvl="0" w:tplc="520028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061932"/>
    <w:multiLevelType w:val="hybridMultilevel"/>
    <w:tmpl w:val="6BF29FB0"/>
    <w:lvl w:ilvl="0" w:tplc="7F623098">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D07133"/>
    <w:multiLevelType w:val="hybridMultilevel"/>
    <w:tmpl w:val="08D43092"/>
    <w:lvl w:ilvl="0" w:tplc="7F6230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D3AFD"/>
    <w:multiLevelType w:val="hybridMultilevel"/>
    <w:tmpl w:val="8BB2B27C"/>
    <w:lvl w:ilvl="0" w:tplc="7F623098">
      <w:start w:val="1"/>
      <w:numFmt w:val="bullet"/>
      <w:lvlText w:val="–"/>
      <w:lvlJc w:val="left"/>
      <w:pPr>
        <w:ind w:left="1052" w:hanging="360"/>
      </w:pPr>
      <w:rPr>
        <w:rFonts w:ascii="Arial" w:hAnsi="Aria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37" w15:restartNumberingAfterBreak="0">
    <w:nsid w:val="6DFE6A6A"/>
    <w:multiLevelType w:val="hybridMultilevel"/>
    <w:tmpl w:val="E66074E0"/>
    <w:lvl w:ilvl="0" w:tplc="8B98D5DC">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77054B58"/>
    <w:multiLevelType w:val="hybridMultilevel"/>
    <w:tmpl w:val="719C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91EF0"/>
    <w:multiLevelType w:val="hybridMultilevel"/>
    <w:tmpl w:val="47BE9CFC"/>
    <w:lvl w:ilvl="0" w:tplc="7F6230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AE4C70"/>
    <w:multiLevelType w:val="hybridMultilevel"/>
    <w:tmpl w:val="739E0C68"/>
    <w:lvl w:ilvl="0" w:tplc="0A5258A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27299222">
    <w:abstractNumId w:val="1"/>
  </w:num>
  <w:num w:numId="2" w16cid:durableId="217400617">
    <w:abstractNumId w:val="22"/>
  </w:num>
  <w:num w:numId="3" w16cid:durableId="76485937">
    <w:abstractNumId w:val="26"/>
  </w:num>
  <w:num w:numId="4" w16cid:durableId="1901206469">
    <w:abstractNumId w:val="2"/>
  </w:num>
  <w:num w:numId="5" w16cid:durableId="837037316">
    <w:abstractNumId w:val="13"/>
  </w:num>
  <w:num w:numId="6" w16cid:durableId="881554472">
    <w:abstractNumId w:val="25"/>
  </w:num>
  <w:num w:numId="7" w16cid:durableId="1397624669">
    <w:abstractNumId w:val="14"/>
  </w:num>
  <w:num w:numId="8" w16cid:durableId="1102217032">
    <w:abstractNumId w:val="17"/>
  </w:num>
  <w:num w:numId="9" w16cid:durableId="1399160717">
    <w:abstractNumId w:val="9"/>
  </w:num>
  <w:num w:numId="10" w16cid:durableId="1706177961">
    <w:abstractNumId w:val="37"/>
  </w:num>
  <w:num w:numId="11" w16cid:durableId="1118331834">
    <w:abstractNumId w:val="23"/>
  </w:num>
  <w:num w:numId="12" w16cid:durableId="300309977">
    <w:abstractNumId w:val="10"/>
  </w:num>
  <w:num w:numId="13" w16cid:durableId="987587577">
    <w:abstractNumId w:val="11"/>
  </w:num>
  <w:num w:numId="14" w16cid:durableId="879436777">
    <w:abstractNumId w:val="28"/>
  </w:num>
  <w:num w:numId="15" w16cid:durableId="826241946">
    <w:abstractNumId w:val="38"/>
  </w:num>
  <w:num w:numId="16" w16cid:durableId="832381119">
    <w:abstractNumId w:val="12"/>
  </w:num>
  <w:num w:numId="17" w16cid:durableId="423260588">
    <w:abstractNumId w:val="32"/>
  </w:num>
  <w:num w:numId="18" w16cid:durableId="2086611320">
    <w:abstractNumId w:val="21"/>
  </w:num>
  <w:num w:numId="19" w16cid:durableId="1808545553">
    <w:abstractNumId w:val="5"/>
  </w:num>
  <w:num w:numId="20" w16cid:durableId="1349214702">
    <w:abstractNumId w:val="0"/>
  </w:num>
  <w:num w:numId="21" w16cid:durableId="372970052">
    <w:abstractNumId w:val="8"/>
  </w:num>
  <w:num w:numId="22" w16cid:durableId="1220432827">
    <w:abstractNumId w:val="16"/>
  </w:num>
  <w:num w:numId="23" w16cid:durableId="413749365">
    <w:abstractNumId w:val="6"/>
  </w:num>
  <w:num w:numId="24" w16cid:durableId="1697392720">
    <w:abstractNumId w:val="27"/>
  </w:num>
  <w:num w:numId="25" w16cid:durableId="968051654">
    <w:abstractNumId w:val="24"/>
  </w:num>
  <w:num w:numId="26" w16cid:durableId="1569607226">
    <w:abstractNumId w:val="30"/>
  </w:num>
  <w:num w:numId="27" w16cid:durableId="1344016604">
    <w:abstractNumId w:val="31"/>
  </w:num>
  <w:num w:numId="28" w16cid:durableId="2058819805">
    <w:abstractNumId w:val="3"/>
  </w:num>
  <w:num w:numId="29" w16cid:durableId="1516993909">
    <w:abstractNumId w:val="40"/>
  </w:num>
  <w:num w:numId="30" w16cid:durableId="779564637">
    <w:abstractNumId w:val="20"/>
  </w:num>
  <w:num w:numId="31" w16cid:durableId="1332216344">
    <w:abstractNumId w:val="15"/>
  </w:num>
  <w:num w:numId="32" w16cid:durableId="572398285">
    <w:abstractNumId w:val="19"/>
  </w:num>
  <w:num w:numId="33" w16cid:durableId="974868090">
    <w:abstractNumId w:val="33"/>
  </w:num>
  <w:num w:numId="34" w16cid:durableId="1085803690">
    <w:abstractNumId w:val="35"/>
  </w:num>
  <w:num w:numId="35" w16cid:durableId="395469416">
    <w:abstractNumId w:val="29"/>
  </w:num>
  <w:num w:numId="36" w16cid:durableId="474221065">
    <w:abstractNumId w:val="34"/>
  </w:num>
  <w:num w:numId="37" w16cid:durableId="377440143">
    <w:abstractNumId w:val="36"/>
  </w:num>
  <w:num w:numId="38" w16cid:durableId="520827562">
    <w:abstractNumId w:val="4"/>
  </w:num>
  <w:num w:numId="39" w16cid:durableId="387648483">
    <w:abstractNumId w:val="18"/>
  </w:num>
  <w:num w:numId="40" w16cid:durableId="636420611">
    <w:abstractNumId w:val="7"/>
  </w:num>
  <w:num w:numId="41" w16cid:durableId="7139669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5BEC"/>
    <w:rsid w:val="000008D7"/>
    <w:rsid w:val="0001736F"/>
    <w:rsid w:val="000203CC"/>
    <w:rsid w:val="00025687"/>
    <w:rsid w:val="00034B1D"/>
    <w:rsid w:val="00036540"/>
    <w:rsid w:val="00043EC0"/>
    <w:rsid w:val="00050C9C"/>
    <w:rsid w:val="00075A9C"/>
    <w:rsid w:val="000866E9"/>
    <w:rsid w:val="00096F9D"/>
    <w:rsid w:val="000D4F78"/>
    <w:rsid w:val="000E4C93"/>
    <w:rsid w:val="000F25A3"/>
    <w:rsid w:val="001168B0"/>
    <w:rsid w:val="001323FF"/>
    <w:rsid w:val="001357E5"/>
    <w:rsid w:val="00144A3B"/>
    <w:rsid w:val="001511CC"/>
    <w:rsid w:val="00151B37"/>
    <w:rsid w:val="00153B4B"/>
    <w:rsid w:val="00155954"/>
    <w:rsid w:val="00161CBA"/>
    <w:rsid w:val="001671C6"/>
    <w:rsid w:val="00171F8B"/>
    <w:rsid w:val="001B2AD9"/>
    <w:rsid w:val="001D45B0"/>
    <w:rsid w:val="001D5D56"/>
    <w:rsid w:val="002414A2"/>
    <w:rsid w:val="00245F2D"/>
    <w:rsid w:val="00251B30"/>
    <w:rsid w:val="002758D3"/>
    <w:rsid w:val="002803EA"/>
    <w:rsid w:val="0028369D"/>
    <w:rsid w:val="002D3311"/>
    <w:rsid w:val="002E0CFC"/>
    <w:rsid w:val="002E68B0"/>
    <w:rsid w:val="002F1925"/>
    <w:rsid w:val="002F74F6"/>
    <w:rsid w:val="00305BEC"/>
    <w:rsid w:val="00336831"/>
    <w:rsid w:val="003644C1"/>
    <w:rsid w:val="00371F1A"/>
    <w:rsid w:val="00383E82"/>
    <w:rsid w:val="003935D8"/>
    <w:rsid w:val="003D096C"/>
    <w:rsid w:val="003D76B7"/>
    <w:rsid w:val="003E18AE"/>
    <w:rsid w:val="003E399D"/>
    <w:rsid w:val="003E5CB9"/>
    <w:rsid w:val="003F5B87"/>
    <w:rsid w:val="00414D26"/>
    <w:rsid w:val="00414DAC"/>
    <w:rsid w:val="0042537F"/>
    <w:rsid w:val="004339A4"/>
    <w:rsid w:val="0047528A"/>
    <w:rsid w:val="004754A9"/>
    <w:rsid w:val="004765E6"/>
    <w:rsid w:val="0048673B"/>
    <w:rsid w:val="0048769D"/>
    <w:rsid w:val="00490686"/>
    <w:rsid w:val="00496755"/>
    <w:rsid w:val="004A2C7C"/>
    <w:rsid w:val="004A7DDA"/>
    <w:rsid w:val="004B286A"/>
    <w:rsid w:val="004D3BC9"/>
    <w:rsid w:val="004E62B1"/>
    <w:rsid w:val="004F7AF4"/>
    <w:rsid w:val="00510628"/>
    <w:rsid w:val="00531CA0"/>
    <w:rsid w:val="005321A2"/>
    <w:rsid w:val="00532EC5"/>
    <w:rsid w:val="00533050"/>
    <w:rsid w:val="00564C6D"/>
    <w:rsid w:val="00586615"/>
    <w:rsid w:val="005C08C8"/>
    <w:rsid w:val="005D29F7"/>
    <w:rsid w:val="005E6E49"/>
    <w:rsid w:val="005F0882"/>
    <w:rsid w:val="0061049F"/>
    <w:rsid w:val="006124C4"/>
    <w:rsid w:val="00617F1B"/>
    <w:rsid w:val="00651328"/>
    <w:rsid w:val="00662220"/>
    <w:rsid w:val="0067178D"/>
    <w:rsid w:val="006719E2"/>
    <w:rsid w:val="00675ADF"/>
    <w:rsid w:val="00690640"/>
    <w:rsid w:val="006966C3"/>
    <w:rsid w:val="006C1CCC"/>
    <w:rsid w:val="006D1504"/>
    <w:rsid w:val="006D274F"/>
    <w:rsid w:val="006D625A"/>
    <w:rsid w:val="006E0A5B"/>
    <w:rsid w:val="006F6528"/>
    <w:rsid w:val="007054CC"/>
    <w:rsid w:val="0071225D"/>
    <w:rsid w:val="0072350A"/>
    <w:rsid w:val="00775531"/>
    <w:rsid w:val="00785CD1"/>
    <w:rsid w:val="0079233A"/>
    <w:rsid w:val="007A7E88"/>
    <w:rsid w:val="007F28C4"/>
    <w:rsid w:val="007F651B"/>
    <w:rsid w:val="00822031"/>
    <w:rsid w:val="00833B9B"/>
    <w:rsid w:val="00837241"/>
    <w:rsid w:val="0086594D"/>
    <w:rsid w:val="008820F9"/>
    <w:rsid w:val="008B7C05"/>
    <w:rsid w:val="008C7B87"/>
    <w:rsid w:val="008F1127"/>
    <w:rsid w:val="008F3837"/>
    <w:rsid w:val="00905CB6"/>
    <w:rsid w:val="0093302C"/>
    <w:rsid w:val="0094250D"/>
    <w:rsid w:val="009521DB"/>
    <w:rsid w:val="00976C1F"/>
    <w:rsid w:val="009777B7"/>
    <w:rsid w:val="00994E27"/>
    <w:rsid w:val="009A32AC"/>
    <w:rsid w:val="009B2DF0"/>
    <w:rsid w:val="009F33B9"/>
    <w:rsid w:val="00A0298C"/>
    <w:rsid w:val="00A05323"/>
    <w:rsid w:val="00A117D1"/>
    <w:rsid w:val="00A16BDF"/>
    <w:rsid w:val="00A41C2C"/>
    <w:rsid w:val="00A64747"/>
    <w:rsid w:val="00A64C8C"/>
    <w:rsid w:val="00A853A1"/>
    <w:rsid w:val="00A97B02"/>
    <w:rsid w:val="00A97F6E"/>
    <w:rsid w:val="00AB2DB5"/>
    <w:rsid w:val="00AC58AE"/>
    <w:rsid w:val="00AE3E73"/>
    <w:rsid w:val="00B2213B"/>
    <w:rsid w:val="00B33FA4"/>
    <w:rsid w:val="00BB1146"/>
    <w:rsid w:val="00BB4DAB"/>
    <w:rsid w:val="00BB7997"/>
    <w:rsid w:val="00BC17B0"/>
    <w:rsid w:val="00BD1537"/>
    <w:rsid w:val="00BE460C"/>
    <w:rsid w:val="00BE5BF5"/>
    <w:rsid w:val="00C044E5"/>
    <w:rsid w:val="00C04B02"/>
    <w:rsid w:val="00C13255"/>
    <w:rsid w:val="00C13799"/>
    <w:rsid w:val="00C408B9"/>
    <w:rsid w:val="00C557B7"/>
    <w:rsid w:val="00C6382C"/>
    <w:rsid w:val="00C80A0D"/>
    <w:rsid w:val="00C90F5E"/>
    <w:rsid w:val="00C92D7A"/>
    <w:rsid w:val="00CB22FB"/>
    <w:rsid w:val="00D02936"/>
    <w:rsid w:val="00D12B58"/>
    <w:rsid w:val="00D1678C"/>
    <w:rsid w:val="00D536A6"/>
    <w:rsid w:val="00D62DA0"/>
    <w:rsid w:val="00D74FA8"/>
    <w:rsid w:val="00D94348"/>
    <w:rsid w:val="00DA0CC1"/>
    <w:rsid w:val="00DB322B"/>
    <w:rsid w:val="00DC1DE8"/>
    <w:rsid w:val="00DC205F"/>
    <w:rsid w:val="00DC536E"/>
    <w:rsid w:val="00DC6241"/>
    <w:rsid w:val="00DC77E3"/>
    <w:rsid w:val="00DD3EA7"/>
    <w:rsid w:val="00DF3D3E"/>
    <w:rsid w:val="00DF4398"/>
    <w:rsid w:val="00DF5D8A"/>
    <w:rsid w:val="00DF61DA"/>
    <w:rsid w:val="00DF68BB"/>
    <w:rsid w:val="00E01A73"/>
    <w:rsid w:val="00E06126"/>
    <w:rsid w:val="00E071B1"/>
    <w:rsid w:val="00E10D8E"/>
    <w:rsid w:val="00E1579A"/>
    <w:rsid w:val="00E368A3"/>
    <w:rsid w:val="00E8342D"/>
    <w:rsid w:val="00EC17A5"/>
    <w:rsid w:val="00EC2150"/>
    <w:rsid w:val="00ED17A2"/>
    <w:rsid w:val="00EE3321"/>
    <w:rsid w:val="00F203AB"/>
    <w:rsid w:val="00F22092"/>
    <w:rsid w:val="00F3113B"/>
    <w:rsid w:val="00F35FB7"/>
    <w:rsid w:val="00F45099"/>
    <w:rsid w:val="00F5121D"/>
    <w:rsid w:val="00F56DE4"/>
    <w:rsid w:val="00F604ED"/>
    <w:rsid w:val="00F61D7A"/>
    <w:rsid w:val="00F67AAC"/>
    <w:rsid w:val="00F80325"/>
    <w:rsid w:val="00F811B9"/>
    <w:rsid w:val="00F91C34"/>
    <w:rsid w:val="00F931B4"/>
    <w:rsid w:val="00F93D16"/>
    <w:rsid w:val="00FB0168"/>
    <w:rsid w:val="00FD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358B8B9"/>
  <w15:docId w15:val="{9F5DAEDE-795B-4180-B6B5-1BFA6DC6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_Note"/>
    <w:autoRedefine/>
    <w:uiPriority w:val="99"/>
    <w:rsid w:val="00A97B02"/>
    <w:pPr>
      <w:spacing w:before="60" w:after="60" w:line="240" w:lineRule="auto"/>
      <w:jc w:val="both"/>
    </w:pPr>
    <w:rPr>
      <w:rFonts w:ascii="Arial" w:eastAsia="Times New Roman" w:hAnsi="Arial" w:cs="Arial"/>
      <w:spacing w:val="-5"/>
      <w:sz w:val="16"/>
      <w:szCs w:val="16"/>
      <w:lang w:val="fr-BE"/>
    </w:rPr>
  </w:style>
  <w:style w:type="paragraph" w:styleId="ListParagraph">
    <w:name w:val="List Paragraph"/>
    <w:basedOn w:val="Normal"/>
    <w:uiPriority w:val="99"/>
    <w:qFormat/>
    <w:rsid w:val="00EC17A5"/>
    <w:pPr>
      <w:ind w:left="720"/>
      <w:contextualSpacing/>
    </w:pPr>
  </w:style>
  <w:style w:type="paragraph" w:styleId="BalloonText">
    <w:name w:val="Balloon Text"/>
    <w:basedOn w:val="Normal"/>
    <w:link w:val="BalloonTextChar"/>
    <w:uiPriority w:val="99"/>
    <w:semiHidden/>
    <w:rsid w:val="00280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03EA"/>
    <w:rPr>
      <w:rFonts w:ascii="Tahoma" w:hAnsi="Tahoma" w:cs="Tahoma"/>
      <w:sz w:val="16"/>
      <w:szCs w:val="16"/>
    </w:rPr>
  </w:style>
  <w:style w:type="paragraph" w:styleId="Header">
    <w:name w:val="header"/>
    <w:basedOn w:val="Normal"/>
    <w:link w:val="HeaderChar"/>
    <w:uiPriority w:val="99"/>
    <w:rsid w:val="009521D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521DB"/>
    <w:rPr>
      <w:rFonts w:cs="Times New Roman"/>
    </w:rPr>
  </w:style>
  <w:style w:type="paragraph" w:styleId="Footer">
    <w:name w:val="footer"/>
    <w:basedOn w:val="Normal"/>
    <w:link w:val="FooterChar"/>
    <w:uiPriority w:val="99"/>
    <w:rsid w:val="009521D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521DB"/>
    <w:rPr>
      <w:rFonts w:cs="Times New Roman"/>
    </w:rPr>
  </w:style>
  <w:style w:type="paragraph" w:styleId="FootnoteText">
    <w:name w:val="footnote text"/>
    <w:basedOn w:val="Normal"/>
    <w:link w:val="FootnoteTextChar"/>
    <w:uiPriority w:val="99"/>
    <w:semiHidden/>
    <w:rsid w:val="009521DB"/>
    <w:pPr>
      <w:spacing w:after="0" w:line="240" w:lineRule="auto"/>
    </w:pPr>
    <w:rPr>
      <w:sz w:val="20"/>
      <w:szCs w:val="20"/>
      <w:lang w:val="fr-BE"/>
    </w:rPr>
  </w:style>
  <w:style w:type="character" w:customStyle="1" w:styleId="FootnoteTextChar">
    <w:name w:val="Footnote Text Char"/>
    <w:basedOn w:val="DefaultParagraphFont"/>
    <w:link w:val="FootnoteText"/>
    <w:uiPriority w:val="99"/>
    <w:semiHidden/>
    <w:locked/>
    <w:rsid w:val="009521DB"/>
    <w:rPr>
      <w:rFonts w:cs="Times New Roman"/>
      <w:sz w:val="20"/>
      <w:szCs w:val="20"/>
      <w:lang w:val="fr-BE"/>
    </w:rPr>
  </w:style>
  <w:style w:type="character" w:styleId="FootnoteReference">
    <w:name w:val="footnote reference"/>
    <w:basedOn w:val="DefaultParagraphFont"/>
    <w:uiPriority w:val="99"/>
    <w:semiHidden/>
    <w:rsid w:val="009521DB"/>
    <w:rPr>
      <w:rFonts w:cs="Times New Roman"/>
      <w:vertAlign w:val="superscript"/>
    </w:rPr>
  </w:style>
  <w:style w:type="paragraph" w:styleId="Revision">
    <w:name w:val="Revision"/>
    <w:hidden/>
    <w:uiPriority w:val="99"/>
    <w:semiHidden/>
    <w:rsid w:val="00DC205F"/>
    <w:pPr>
      <w:spacing w:after="0" w:line="240" w:lineRule="auto"/>
    </w:pPr>
  </w:style>
  <w:style w:type="character" w:styleId="CommentReference">
    <w:name w:val="annotation reference"/>
    <w:basedOn w:val="DefaultParagraphFont"/>
    <w:uiPriority w:val="99"/>
    <w:semiHidden/>
    <w:rsid w:val="00F67AAC"/>
    <w:rPr>
      <w:rFonts w:cs="Times New Roman"/>
      <w:sz w:val="16"/>
      <w:szCs w:val="16"/>
    </w:rPr>
  </w:style>
  <w:style w:type="paragraph" w:styleId="CommentText">
    <w:name w:val="annotation text"/>
    <w:basedOn w:val="Normal"/>
    <w:link w:val="CommentTextChar"/>
    <w:uiPriority w:val="99"/>
    <w:semiHidden/>
    <w:rsid w:val="00F67AA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67AAC"/>
    <w:rPr>
      <w:rFonts w:cs="Times New Roman"/>
      <w:sz w:val="20"/>
      <w:szCs w:val="20"/>
    </w:rPr>
  </w:style>
  <w:style w:type="paragraph" w:styleId="CommentSubject">
    <w:name w:val="annotation subject"/>
    <w:basedOn w:val="CommentText"/>
    <w:next w:val="CommentText"/>
    <w:link w:val="CommentSubjectChar"/>
    <w:uiPriority w:val="99"/>
    <w:semiHidden/>
    <w:rsid w:val="00F67AAC"/>
    <w:rPr>
      <w:b/>
      <w:bCs/>
    </w:rPr>
  </w:style>
  <w:style w:type="character" w:customStyle="1" w:styleId="CommentSubjectChar">
    <w:name w:val="Comment Subject Char"/>
    <w:basedOn w:val="CommentTextChar"/>
    <w:link w:val="CommentSubject"/>
    <w:uiPriority w:val="99"/>
    <w:semiHidden/>
    <w:locked/>
    <w:rsid w:val="00F67AAC"/>
    <w:rPr>
      <w:rFonts w:cs="Times New Roman"/>
      <w:b/>
      <w:bCs/>
      <w:sz w:val="20"/>
      <w:szCs w:val="20"/>
    </w:rPr>
  </w:style>
  <w:style w:type="character" w:styleId="PageNumber">
    <w:name w:val="page number"/>
    <w:basedOn w:val="DefaultParagraphFont"/>
    <w:uiPriority w:val="99"/>
    <w:rsid w:val="00C13799"/>
    <w:rPr>
      <w:rFonts w:cs="Times New Roman"/>
    </w:rPr>
  </w:style>
  <w:style w:type="character" w:styleId="Hyperlink">
    <w:name w:val="Hyperlink"/>
    <w:uiPriority w:val="99"/>
    <w:unhideWhenUsed/>
    <w:rsid w:val="00C044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88574">
      <w:marLeft w:val="0"/>
      <w:marRight w:val="0"/>
      <w:marTop w:val="0"/>
      <w:marBottom w:val="0"/>
      <w:divBdr>
        <w:top w:val="none" w:sz="0" w:space="0" w:color="auto"/>
        <w:left w:val="none" w:sz="0" w:space="0" w:color="auto"/>
        <w:bottom w:val="none" w:sz="0" w:space="0" w:color="auto"/>
        <w:right w:val="none" w:sz="0" w:space="0" w:color="auto"/>
      </w:divBdr>
    </w:div>
    <w:div w:id="1522888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icci.be/fr/publications-et-outils/mod-les-de-documents/mod-les-de-documents-detail-page/outils-pour-un-audit-isa-efficie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Props1.xml><?xml version="1.0" encoding="utf-8"?>
<ds:datastoreItem xmlns:ds="http://schemas.openxmlformats.org/officeDocument/2006/customXml" ds:itemID="{DC717B59-88BB-45BB-A67A-DF498FF7E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AB04B-D6E7-40F5-8C02-895E3E8F6916}">
  <ds:schemaRefs>
    <ds:schemaRef ds:uri="http://schemas.microsoft.com/sharepoint/v3/contenttype/forms"/>
  </ds:schemaRefs>
</ds:datastoreItem>
</file>

<file path=customXml/itemProps3.xml><?xml version="1.0" encoding="utf-8"?>
<ds:datastoreItem xmlns:ds="http://schemas.openxmlformats.org/officeDocument/2006/customXml" ds:itemID="{3C6CF43E-FF24-4CF8-B8A7-141E4B30180B}">
  <ds:schemaRefs>
    <ds:schemaRef ds:uri="http://schemas.openxmlformats.org/officeDocument/2006/bibliography"/>
  </ds:schemaRefs>
</ds:datastoreItem>
</file>

<file path=customXml/itemProps4.xml><?xml version="1.0" encoding="utf-8"?>
<ds:datastoreItem xmlns:ds="http://schemas.openxmlformats.org/officeDocument/2006/customXml" ds:itemID="{3FF06FA9-F1EE-4226-AFDF-B1305635B354}">
  <ds:schemaRefs>
    <ds:schemaRef ds:uri="http://schemas.microsoft.com/office/2006/metadata/properties"/>
    <ds:schemaRef ds:uri="ff960655-24fd-4f3f-8e9c-285049d99abf"/>
    <ds:schemaRef ds:uri="86d8d313-957f-44b4-bb66-f96f0d40e90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Nom du client</vt:lpstr>
    </vt:vector>
  </TitlesOfParts>
  <Company>IBR-IRE</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client</dc:title>
  <dc:subject/>
  <dc:creator>Interimair 2</dc:creator>
  <cp:keywords/>
  <dc:description/>
  <cp:lastModifiedBy>Quintart Stéphanie</cp:lastModifiedBy>
  <cp:revision>33</cp:revision>
  <cp:lastPrinted>2011-12-19T10:16:00Z</cp:lastPrinted>
  <dcterms:created xsi:type="dcterms:W3CDTF">2011-11-22T14:57:00Z</dcterms:created>
  <dcterms:modified xsi:type="dcterms:W3CDTF">2022-07-13T10:44:00Z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0x010100686348715C70104394B9EC5FF59EE5BB</vt:lpwstr>
  </property>
  <property fmtid="{D5CDD505-2E9C-101B-9397-08002B2CF9AE}" pid="3" name="_dlc_DocIdItemGuid">
    <vt:lpwstr>f41e3616-5855-41d0-a8b0-0283f221dc89</vt:lpwstr>
  </property>
  <property fmtid="{D5CDD505-2E9C-101B-9397-08002B2CF9AE}" pid="4" name="URL">
    <vt:lpwstr/>
  </property>
  <property fmtid="{D5CDD505-2E9C-101B-9397-08002B2CF9AE}" pid="5" name="DocumentSetDescription">
    <vt:lpwstr/>
  </property>
  <property fmtid="{D5CDD505-2E9C-101B-9397-08002B2CF9AE}" pid="6" name="MediaServiceImageTags">
    <vt:lpwstr/>
  </property>
</Properties>
</file>