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985"/>
        <w:gridCol w:w="1984"/>
        <w:gridCol w:w="1560"/>
      </w:tblGrid>
      <w:tr w:rsidR="0077405D" w:rsidRPr="00691B21" w14:paraId="72EB1D18" w14:textId="77777777" w:rsidTr="00D56952">
        <w:tc>
          <w:tcPr>
            <w:tcW w:w="4536" w:type="dxa"/>
            <w:shd w:val="clear" w:color="auto" w:fill="auto"/>
          </w:tcPr>
          <w:p w14:paraId="72EB1D14" w14:textId="77777777" w:rsidR="0077405D" w:rsidRPr="00D56952" w:rsidRDefault="0077405D" w:rsidP="00D56952">
            <w:pPr>
              <w:pStyle w:val="Vrijevorm"/>
              <w:tabs>
                <w:tab w:val="left" w:pos="7920"/>
              </w:tabs>
              <w:spacing w:before="60" w:after="60"/>
              <w:rPr>
                <w:rFonts w:ascii="Arial" w:hAnsi="Arial" w:cs="Arial"/>
                <w:b/>
                <w:bCs/>
                <w:color w:val="auto"/>
                <w:spacing w:val="-5"/>
                <w:sz w:val="20"/>
                <w:lang w:val="fr-BE"/>
              </w:rPr>
            </w:pPr>
            <w:r w:rsidRPr="00D56952">
              <w:rPr>
                <w:rFonts w:ascii="Arial" w:hAnsi="Arial" w:cs="Arial"/>
                <w:sz w:val="20"/>
                <w:lang w:val="fr-BE"/>
              </w:rPr>
              <w:t>Nom du client</w:t>
            </w:r>
          </w:p>
        </w:tc>
        <w:tc>
          <w:tcPr>
            <w:tcW w:w="1985" w:type="dxa"/>
            <w:shd w:val="clear" w:color="auto" w:fill="auto"/>
          </w:tcPr>
          <w:p w14:paraId="72EB1D15" w14:textId="77777777" w:rsidR="0077405D" w:rsidRPr="00D56952" w:rsidRDefault="0077405D" w:rsidP="00D56952">
            <w:pPr>
              <w:pStyle w:val="Vrijevorm"/>
              <w:tabs>
                <w:tab w:val="left" w:pos="7920"/>
              </w:tabs>
              <w:spacing w:before="60" w:after="60"/>
              <w:jc w:val="center"/>
              <w:rPr>
                <w:rFonts w:ascii="Arial" w:hAnsi="Arial" w:cs="Arial"/>
                <w:b/>
                <w:bCs/>
                <w:color w:val="auto"/>
                <w:spacing w:val="-5"/>
                <w:sz w:val="20"/>
                <w:lang w:val="fr-BE"/>
              </w:rPr>
            </w:pPr>
          </w:p>
        </w:tc>
        <w:tc>
          <w:tcPr>
            <w:tcW w:w="1984" w:type="dxa"/>
            <w:shd w:val="clear" w:color="auto" w:fill="auto"/>
          </w:tcPr>
          <w:p w14:paraId="72EB1D16" w14:textId="77777777" w:rsidR="0077405D" w:rsidRPr="00D56952" w:rsidRDefault="008D232A" w:rsidP="008D232A">
            <w:pPr>
              <w:pStyle w:val="Vrijevorm"/>
              <w:tabs>
                <w:tab w:val="left" w:pos="7920"/>
              </w:tabs>
              <w:spacing w:before="60" w:after="60"/>
              <w:rPr>
                <w:rFonts w:ascii="Arial" w:hAnsi="Arial" w:cs="Arial"/>
                <w:b/>
                <w:bCs/>
                <w:color w:val="auto"/>
                <w:spacing w:val="-5"/>
                <w:sz w:val="20"/>
                <w:lang w:val="fr-BE"/>
              </w:rPr>
            </w:pPr>
            <w:r>
              <w:rPr>
                <w:rFonts w:ascii="Arial" w:hAnsi="Arial" w:cs="Arial"/>
                <w:sz w:val="20"/>
                <w:lang w:val="fr-BE"/>
              </w:rPr>
              <w:t>E</w:t>
            </w:r>
            <w:r w:rsidR="0077405D" w:rsidRPr="00D56952">
              <w:rPr>
                <w:rFonts w:ascii="Arial" w:hAnsi="Arial" w:cs="Arial"/>
                <w:sz w:val="20"/>
                <w:lang w:val="fr-BE"/>
              </w:rPr>
              <w:t>xercice</w:t>
            </w:r>
          </w:p>
        </w:tc>
        <w:tc>
          <w:tcPr>
            <w:tcW w:w="1560" w:type="dxa"/>
            <w:shd w:val="clear" w:color="auto" w:fill="auto"/>
          </w:tcPr>
          <w:p w14:paraId="72EB1D17" w14:textId="77777777" w:rsidR="0077405D" w:rsidRPr="00D56952" w:rsidRDefault="0077405D" w:rsidP="00D56952">
            <w:pPr>
              <w:pStyle w:val="Vrijevorm"/>
              <w:tabs>
                <w:tab w:val="left" w:pos="7920"/>
              </w:tabs>
              <w:spacing w:before="60" w:after="60"/>
              <w:jc w:val="center"/>
              <w:rPr>
                <w:rFonts w:ascii="Arial" w:hAnsi="Arial" w:cs="Arial"/>
                <w:b/>
                <w:bCs/>
                <w:color w:val="auto"/>
                <w:spacing w:val="-5"/>
                <w:sz w:val="20"/>
                <w:lang w:val="fr-BE"/>
              </w:rPr>
            </w:pPr>
          </w:p>
        </w:tc>
      </w:tr>
      <w:tr w:rsidR="00913D6D" w:rsidRPr="00691B21" w14:paraId="72EB1D1B" w14:textId="77777777" w:rsidTr="00D56952">
        <w:tc>
          <w:tcPr>
            <w:tcW w:w="4536" w:type="dxa"/>
            <w:shd w:val="clear" w:color="auto" w:fill="auto"/>
          </w:tcPr>
          <w:p w14:paraId="72EB1D19" w14:textId="77777777" w:rsidR="00913D6D" w:rsidRPr="00D56952" w:rsidRDefault="00913D6D" w:rsidP="00D56952">
            <w:pPr>
              <w:pStyle w:val="Vrijevorm"/>
              <w:tabs>
                <w:tab w:val="left" w:pos="7920"/>
              </w:tabs>
              <w:spacing w:before="60" w:after="60"/>
              <w:rPr>
                <w:rFonts w:ascii="Arial" w:hAnsi="Arial" w:cs="Arial"/>
                <w:b/>
                <w:bCs/>
                <w:color w:val="auto"/>
                <w:spacing w:val="-5"/>
                <w:sz w:val="20"/>
                <w:lang w:val="fr-BE"/>
              </w:rPr>
            </w:pPr>
            <w:r w:rsidRPr="00D56952">
              <w:rPr>
                <w:rFonts w:ascii="Arial" w:hAnsi="Arial" w:cs="Arial"/>
                <w:color w:val="auto"/>
                <w:sz w:val="20"/>
                <w:lang w:val="fr-BE"/>
              </w:rPr>
              <w:t>Sujet</w:t>
            </w:r>
          </w:p>
        </w:tc>
        <w:tc>
          <w:tcPr>
            <w:tcW w:w="5529" w:type="dxa"/>
            <w:gridSpan w:val="3"/>
            <w:shd w:val="clear" w:color="auto" w:fill="BFBFBF"/>
          </w:tcPr>
          <w:p w14:paraId="72EB1D1A" w14:textId="77777777" w:rsidR="00913D6D" w:rsidRPr="00D56952" w:rsidRDefault="001E0EBE" w:rsidP="00D56952">
            <w:pPr>
              <w:pStyle w:val="Vrijevorm"/>
              <w:tabs>
                <w:tab w:val="left" w:pos="7920"/>
              </w:tabs>
              <w:spacing w:before="60" w:after="60"/>
              <w:jc w:val="center"/>
              <w:rPr>
                <w:rFonts w:ascii="Arial" w:hAnsi="Arial" w:cs="Arial"/>
                <w:b/>
                <w:bCs/>
                <w:color w:val="auto"/>
                <w:spacing w:val="-5"/>
                <w:sz w:val="20"/>
                <w:lang w:val="fr-BE"/>
              </w:rPr>
            </w:pPr>
            <w:r w:rsidRPr="00D56952">
              <w:rPr>
                <w:rFonts w:ascii="Arial" w:hAnsi="Arial" w:cs="Arial"/>
                <w:b/>
                <w:bCs/>
                <w:color w:val="auto"/>
                <w:spacing w:val="-5"/>
                <w:sz w:val="20"/>
                <w:lang w:val="fr-BE"/>
              </w:rPr>
              <w:t>CONTINUITE D’EXPLOITATION</w:t>
            </w:r>
          </w:p>
        </w:tc>
      </w:tr>
    </w:tbl>
    <w:p w14:paraId="72EB1D1C" w14:textId="77777777" w:rsidR="00136EB9" w:rsidRPr="00E96825" w:rsidRDefault="00136EB9" w:rsidP="00B96AFF">
      <w:pPr>
        <w:pStyle w:val="Note"/>
        <w:rPr>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3"/>
        <w:gridCol w:w="842"/>
      </w:tblGrid>
      <w:tr w:rsidR="001E0EBE" w:rsidRPr="00B96AFF" w14:paraId="72EB1D1F" w14:textId="77777777" w:rsidTr="00D56952">
        <w:tc>
          <w:tcPr>
            <w:tcW w:w="9223" w:type="dxa"/>
            <w:shd w:val="clear" w:color="auto" w:fill="auto"/>
          </w:tcPr>
          <w:p w14:paraId="72EB1D1D" w14:textId="77777777" w:rsidR="001E0EBE" w:rsidRPr="00B96AFF" w:rsidRDefault="001E0EBE" w:rsidP="00B96AFF">
            <w:pPr>
              <w:pStyle w:val="Note"/>
              <w:jc w:val="center"/>
              <w:rPr>
                <w:rFonts w:ascii="Arial" w:hAnsi="Arial" w:cs="Arial"/>
                <w:b/>
                <w:lang w:val="fr-BE"/>
              </w:rPr>
            </w:pPr>
            <w:r w:rsidRPr="00B96AFF">
              <w:rPr>
                <w:rFonts w:ascii="Arial" w:hAnsi="Arial" w:cs="Arial"/>
                <w:b/>
                <w:lang w:val="fr-BE"/>
              </w:rPr>
              <w:t>OBJECTIF</w:t>
            </w:r>
          </w:p>
        </w:tc>
        <w:tc>
          <w:tcPr>
            <w:tcW w:w="842" w:type="dxa"/>
            <w:shd w:val="clear" w:color="auto" w:fill="auto"/>
          </w:tcPr>
          <w:p w14:paraId="72EB1D1E" w14:textId="77777777" w:rsidR="001E0EBE" w:rsidRPr="00B96AFF" w:rsidRDefault="001E0EBE" w:rsidP="00B96AFF">
            <w:pPr>
              <w:pStyle w:val="Note"/>
              <w:jc w:val="center"/>
              <w:rPr>
                <w:rFonts w:ascii="Arial" w:hAnsi="Arial" w:cs="Arial"/>
                <w:b/>
                <w:lang w:val="fr-BE"/>
              </w:rPr>
            </w:pPr>
            <w:r w:rsidRPr="00B96AFF">
              <w:rPr>
                <w:rFonts w:ascii="Arial" w:hAnsi="Arial" w:cs="Arial"/>
                <w:b/>
                <w:lang w:val="fr-BE"/>
              </w:rPr>
              <w:t>ISA</w:t>
            </w:r>
          </w:p>
        </w:tc>
      </w:tr>
      <w:tr w:rsidR="001E0EBE" w:rsidRPr="00B96AFF" w14:paraId="72EB1D24" w14:textId="77777777" w:rsidTr="00B96AFF">
        <w:tc>
          <w:tcPr>
            <w:tcW w:w="9223" w:type="dxa"/>
            <w:shd w:val="clear" w:color="auto" w:fill="auto"/>
          </w:tcPr>
          <w:p w14:paraId="72EB1D20" w14:textId="77777777" w:rsidR="001E0EBE" w:rsidRPr="00B832E8" w:rsidRDefault="00BA5B7C" w:rsidP="00B96AFF">
            <w:pPr>
              <w:pStyle w:val="Note"/>
              <w:rPr>
                <w:rFonts w:ascii="Arial" w:hAnsi="Arial" w:cs="Arial"/>
                <w:lang w:val="fr-BE"/>
              </w:rPr>
            </w:pPr>
            <w:r w:rsidRPr="00B832E8">
              <w:rPr>
                <w:rFonts w:ascii="Arial" w:hAnsi="Arial" w:cs="Arial"/>
                <w:lang w:val="fr-BE"/>
              </w:rPr>
              <w:t>L</w:t>
            </w:r>
            <w:r w:rsidR="001E0EBE" w:rsidRPr="00B832E8">
              <w:rPr>
                <w:rFonts w:ascii="Arial" w:hAnsi="Arial" w:cs="Arial"/>
                <w:lang w:val="fr-BE"/>
              </w:rPr>
              <w:t xml:space="preserve">’objectif de la présente check-list est de documenter la responsabilité de l’auditeur en matière de continuité d’exploitation. L’auditeur doit analyser les hypothèses utilisées par la direction dans la préparation des comptes annuels, ce qui inclut l’examen de l’évaluation par la direction du maintien de la continuité d’exploitation. Cette check-list  est divisée en deux parties. </w:t>
            </w:r>
          </w:p>
          <w:p w14:paraId="72EB1D21" w14:textId="77777777" w:rsidR="001E0EBE" w:rsidRPr="00B832E8" w:rsidRDefault="001E0EBE" w:rsidP="00B96AFF">
            <w:pPr>
              <w:pStyle w:val="Note"/>
              <w:rPr>
                <w:rFonts w:ascii="Arial" w:hAnsi="Arial" w:cs="Arial"/>
                <w:lang w:val="fr-BE"/>
              </w:rPr>
            </w:pPr>
            <w:r w:rsidRPr="00B832E8">
              <w:rPr>
                <w:rFonts w:ascii="Arial" w:hAnsi="Arial" w:cs="Arial"/>
                <w:lang w:val="fr-BE"/>
              </w:rPr>
              <w:t>La première partie doit être complétée lorsqu’il existe une incertitude sur la capacité de l’entité à poursuivre ses activités.</w:t>
            </w:r>
          </w:p>
          <w:p w14:paraId="72EB1D22" w14:textId="77777777" w:rsidR="001E0EBE" w:rsidRPr="00B96AFF" w:rsidRDefault="001E0EBE" w:rsidP="00B96AFF">
            <w:pPr>
              <w:pStyle w:val="Note"/>
              <w:rPr>
                <w:rFonts w:ascii="Arial" w:hAnsi="Arial" w:cs="Arial"/>
                <w:lang w:val="fr-BE"/>
              </w:rPr>
            </w:pPr>
            <w:r w:rsidRPr="00B832E8">
              <w:rPr>
                <w:rFonts w:ascii="Arial" w:hAnsi="Arial" w:cs="Arial"/>
                <w:lang w:val="fr-BE"/>
              </w:rPr>
              <w:t>Si des conditions défavorables sont identifiées, l’auditeur devrait alors remplir la deuxième partie (Evaluation du plan d’action de la direction).</w:t>
            </w:r>
          </w:p>
        </w:tc>
        <w:tc>
          <w:tcPr>
            <w:tcW w:w="842" w:type="dxa"/>
            <w:shd w:val="clear" w:color="auto" w:fill="auto"/>
          </w:tcPr>
          <w:p w14:paraId="72EB1D23" w14:textId="77777777" w:rsidR="001E0EBE" w:rsidRPr="00B96AFF" w:rsidRDefault="001E0EBE" w:rsidP="00B96AFF">
            <w:pPr>
              <w:pStyle w:val="Note"/>
              <w:jc w:val="center"/>
              <w:rPr>
                <w:rFonts w:ascii="Arial" w:hAnsi="Arial" w:cs="Arial"/>
                <w:lang w:val="fr-BE"/>
              </w:rPr>
            </w:pPr>
            <w:r w:rsidRPr="00B96AFF">
              <w:rPr>
                <w:rFonts w:ascii="Arial" w:hAnsi="Arial" w:cs="Arial"/>
                <w:lang w:val="fr-BE"/>
              </w:rPr>
              <w:t>570</w:t>
            </w:r>
          </w:p>
        </w:tc>
      </w:tr>
    </w:tbl>
    <w:p w14:paraId="72EB1D25" w14:textId="77777777" w:rsidR="00B76B5D" w:rsidRDefault="00B76B5D" w:rsidP="00BC3976">
      <w:pPr>
        <w:pStyle w:val="BodyTextWithAbove"/>
      </w:pPr>
    </w:p>
    <w:tbl>
      <w:tblPr>
        <w:tblW w:w="10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E97554" w:rsidRPr="009C5AD9" w14:paraId="72EB1D28" w14:textId="77777777" w:rsidTr="00871CB3">
        <w:trPr>
          <w:tblHeader/>
        </w:trPr>
        <w:tc>
          <w:tcPr>
            <w:tcW w:w="5148" w:type="dxa"/>
            <w:shd w:val="clear" w:color="auto" w:fill="A6A6A6"/>
          </w:tcPr>
          <w:p w14:paraId="72EB1D26" w14:textId="77777777" w:rsidR="00E97554" w:rsidRPr="009C5AD9" w:rsidRDefault="00E97554" w:rsidP="00BC3976">
            <w:pPr>
              <w:pStyle w:val="BodyTextWithAbove"/>
              <w:rPr>
                <w:lang w:val="fr-BE"/>
              </w:rPr>
            </w:pPr>
          </w:p>
        </w:tc>
        <w:tc>
          <w:tcPr>
            <w:tcW w:w="5148" w:type="dxa"/>
            <w:shd w:val="clear" w:color="auto" w:fill="A6A6A6"/>
          </w:tcPr>
          <w:p w14:paraId="72EB1D27" w14:textId="77777777" w:rsidR="00E97554" w:rsidRPr="009C5AD9" w:rsidRDefault="00E97554" w:rsidP="00BC3976">
            <w:pPr>
              <w:pStyle w:val="BodyTextWithAbove"/>
              <w:rPr>
                <w:lang w:val="fr-BE"/>
              </w:rPr>
            </w:pPr>
            <w:r w:rsidRPr="009C5AD9">
              <w:rPr>
                <w:lang w:val="fr-BE"/>
              </w:rPr>
              <w:t>Commentaire</w:t>
            </w:r>
            <w:r w:rsidR="00F722C6">
              <w:rPr>
                <w:lang w:val="fr-BE"/>
              </w:rPr>
              <w:t>s</w:t>
            </w:r>
          </w:p>
        </w:tc>
      </w:tr>
      <w:tr w:rsidR="00E97554" w:rsidRPr="00293F71" w14:paraId="72EB1D2A" w14:textId="77777777" w:rsidTr="00871CB3">
        <w:tc>
          <w:tcPr>
            <w:tcW w:w="10296" w:type="dxa"/>
            <w:gridSpan w:val="2"/>
            <w:shd w:val="clear" w:color="auto" w:fill="D9D9D9"/>
          </w:tcPr>
          <w:p w14:paraId="72EB1D29" w14:textId="77777777" w:rsidR="00E97554" w:rsidRPr="00F722C6" w:rsidRDefault="00E97554" w:rsidP="00BC3976">
            <w:pPr>
              <w:pStyle w:val="BodyTextWithAbove"/>
              <w:rPr>
                <w:b/>
                <w:lang w:val="fr-BE"/>
              </w:rPr>
            </w:pPr>
            <w:r w:rsidRPr="00F722C6">
              <w:rPr>
                <w:b/>
                <w:lang w:val="fr-BE"/>
              </w:rPr>
              <w:t>PARTIE 1 : IDENTIFICATION EVENEMENTS ET CIRCONSTANCES</w:t>
            </w:r>
          </w:p>
        </w:tc>
      </w:tr>
      <w:tr w:rsidR="00E97554" w:rsidRPr="00293F71" w14:paraId="72EB1D2E" w14:textId="77777777" w:rsidTr="00871CB3">
        <w:tc>
          <w:tcPr>
            <w:tcW w:w="10296" w:type="dxa"/>
            <w:gridSpan w:val="2"/>
            <w:shd w:val="clear" w:color="auto" w:fill="auto"/>
          </w:tcPr>
          <w:p w14:paraId="72EB1D2B" w14:textId="77777777" w:rsidR="00E97554" w:rsidRPr="00B832E8" w:rsidRDefault="00E97554" w:rsidP="009E6F3C">
            <w:pPr>
              <w:pStyle w:val="HeadLevel2NoBoldNums"/>
              <w:rPr>
                <w:lang w:val="fr-BE"/>
              </w:rPr>
            </w:pPr>
            <w:r w:rsidRPr="00B832E8">
              <w:rPr>
                <w:lang w:val="fr-BE"/>
              </w:rPr>
              <w:t xml:space="preserve">L’organe de gestion devrait fournir, semestriellement au moins, </w:t>
            </w:r>
            <w:r w:rsidR="00BA5B7C" w:rsidRPr="00B832E8">
              <w:rPr>
                <w:lang w:val="fr-BE"/>
              </w:rPr>
              <w:t>au commissaire</w:t>
            </w:r>
            <w:r w:rsidRPr="00B832E8">
              <w:rPr>
                <w:lang w:val="fr-BE"/>
              </w:rPr>
              <w:t xml:space="preserve"> une situation comptable (art. 137</w:t>
            </w:r>
            <w:r w:rsidR="00293F71">
              <w:rPr>
                <w:lang w:val="fr-BE"/>
              </w:rPr>
              <w:t xml:space="preserve"> </w:t>
            </w:r>
            <w:r w:rsidR="00211A1E" w:rsidRPr="00B832E8">
              <w:rPr>
                <w:lang w:val="fr-BE"/>
              </w:rPr>
              <w:t>C. Soc.</w:t>
            </w:r>
            <w:r w:rsidRPr="00B832E8">
              <w:rPr>
                <w:lang w:val="fr-BE"/>
              </w:rPr>
              <w:t>).</w:t>
            </w:r>
          </w:p>
          <w:p w14:paraId="72EB1D2C" w14:textId="77777777" w:rsidR="00E97554" w:rsidRPr="00B832E8" w:rsidRDefault="00E97554" w:rsidP="009E6F3C">
            <w:pPr>
              <w:pStyle w:val="HeadLevel2NoBoldNums"/>
              <w:rPr>
                <w:color w:val="FF0000"/>
                <w:lang w:val="fr-BE"/>
              </w:rPr>
            </w:pPr>
            <w:r w:rsidRPr="00B832E8">
              <w:rPr>
                <w:lang w:val="fr-BE"/>
              </w:rPr>
              <w:t xml:space="preserve">Si au cours de ses contrôles, le </w:t>
            </w:r>
            <w:r w:rsidR="00211A1E" w:rsidRPr="00B832E8">
              <w:rPr>
                <w:lang w:val="fr-BE"/>
              </w:rPr>
              <w:t>c</w:t>
            </w:r>
            <w:r w:rsidRPr="00B832E8">
              <w:rPr>
                <w:lang w:val="fr-BE"/>
              </w:rPr>
              <w:t xml:space="preserve">ommissaire constate des faits ou des événements susceptibles de compromettre la continuité de l’entreprise, il doit en informer par écrit et de manière circonstanciée l’organe de gestion (art. 138 </w:t>
            </w:r>
            <w:r w:rsidR="00211A1E" w:rsidRPr="00B832E8">
              <w:rPr>
                <w:lang w:val="fr-BE"/>
              </w:rPr>
              <w:t>C. Soc.</w:t>
            </w:r>
            <w:r w:rsidRPr="00B832E8">
              <w:rPr>
                <w:lang w:val="fr-BE"/>
              </w:rPr>
              <w:t>).</w:t>
            </w:r>
            <w:r w:rsidRPr="00B832E8">
              <w:rPr>
                <w:color w:val="FF0000"/>
                <w:lang w:val="fr-BE"/>
              </w:rPr>
              <w:t xml:space="preserve"> </w:t>
            </w:r>
          </w:p>
          <w:p w14:paraId="72EB1D2D" w14:textId="77777777" w:rsidR="00E97554" w:rsidRPr="009C5AD9" w:rsidRDefault="00E97554" w:rsidP="00790E60">
            <w:pPr>
              <w:pStyle w:val="BodyTextWithAbove"/>
              <w:jc w:val="both"/>
              <w:rPr>
                <w:lang w:val="fr-BE"/>
              </w:rPr>
            </w:pPr>
            <w:r w:rsidRPr="00B832E8">
              <w:rPr>
                <w:lang w:val="fr-BE"/>
              </w:rPr>
              <w:t xml:space="preserve">Cependant, lorsque le </w:t>
            </w:r>
            <w:r w:rsidR="00EC552A" w:rsidRPr="00B832E8">
              <w:rPr>
                <w:lang w:val="fr-BE"/>
              </w:rPr>
              <w:t>c</w:t>
            </w:r>
            <w:r w:rsidRPr="00B832E8">
              <w:rPr>
                <w:lang w:val="fr-BE"/>
              </w:rPr>
              <w:t>ommissaire constate que l’organe de gestion a déjà délibéré sur les mesures qui devraient être prises pour assurer la continuité des activités pendant une période d’au</w:t>
            </w:r>
            <w:r w:rsidR="00C36189" w:rsidRPr="00B832E8">
              <w:rPr>
                <w:lang w:val="fr-BE"/>
              </w:rPr>
              <w:t xml:space="preserve"> </w:t>
            </w:r>
            <w:r w:rsidRPr="00B832E8">
              <w:rPr>
                <w:lang w:val="fr-BE"/>
              </w:rPr>
              <w:t>moins 12 mois, il peut renoncer à  l’obligation d’une notification écrite (art.138</w:t>
            </w:r>
            <w:r w:rsidR="00211A1E" w:rsidRPr="00B832E8">
              <w:rPr>
                <w:lang w:val="fr-BE"/>
              </w:rPr>
              <w:t xml:space="preserve"> C. Soc.</w:t>
            </w:r>
            <w:r w:rsidRPr="00B832E8">
              <w:rPr>
                <w:lang w:val="fr-BE"/>
              </w:rPr>
              <w:t>).</w:t>
            </w:r>
          </w:p>
        </w:tc>
      </w:tr>
      <w:tr w:rsidR="00E97554" w:rsidRPr="00B832E8" w14:paraId="72EB1D32" w14:textId="77777777" w:rsidTr="00871CB3">
        <w:tc>
          <w:tcPr>
            <w:tcW w:w="5148" w:type="dxa"/>
            <w:shd w:val="clear" w:color="auto" w:fill="auto"/>
          </w:tcPr>
          <w:p w14:paraId="72EB1D2F" w14:textId="77777777" w:rsidR="00E97554" w:rsidRPr="00B832E8" w:rsidRDefault="00F722C6" w:rsidP="009E6F3C">
            <w:pPr>
              <w:pStyle w:val="HeadLevel2NoBoldNums"/>
              <w:numPr>
                <w:ilvl w:val="0"/>
                <w:numId w:val="7"/>
              </w:numPr>
              <w:rPr>
                <w:lang w:val="fr-BE"/>
              </w:rPr>
            </w:pPr>
            <w:r w:rsidRPr="00B832E8">
              <w:rPr>
                <w:lang w:val="fr-BE"/>
              </w:rPr>
              <w:t>Identifier les évé</w:t>
            </w:r>
            <w:r w:rsidR="00E97554" w:rsidRPr="00B832E8">
              <w:rPr>
                <w:lang w:val="fr-BE"/>
              </w:rPr>
              <w:t>nements ou circonstances défavorables susceptibles de remettre en cause la capacité de l’entité à continuer son exploitation. Envisager :</w:t>
            </w:r>
          </w:p>
          <w:p w14:paraId="72EB1D30" w14:textId="77777777" w:rsidR="00C21A30" w:rsidRPr="00B832E8" w:rsidRDefault="00C21A30" w:rsidP="00273C38">
            <w:pPr>
              <w:spacing w:before="60" w:after="60"/>
              <w:ind w:left="636" w:hanging="284"/>
              <w:rPr>
                <w:rFonts w:ascii="Arial" w:hAnsi="Arial" w:cs="Arial"/>
                <w:sz w:val="20"/>
                <w:szCs w:val="20"/>
                <w:lang w:val="fr-BE"/>
              </w:rPr>
            </w:pPr>
          </w:p>
        </w:tc>
        <w:tc>
          <w:tcPr>
            <w:tcW w:w="5148" w:type="dxa"/>
            <w:shd w:val="clear" w:color="auto" w:fill="auto"/>
          </w:tcPr>
          <w:p w14:paraId="72EB1D31" w14:textId="77777777" w:rsidR="00E97554" w:rsidRPr="00B832E8" w:rsidRDefault="00E97554" w:rsidP="00BC3976">
            <w:pPr>
              <w:pStyle w:val="BodyTextWithAbove"/>
              <w:rPr>
                <w:lang w:val="fr-BE"/>
              </w:rPr>
            </w:pPr>
          </w:p>
        </w:tc>
      </w:tr>
      <w:tr w:rsidR="00273C38" w:rsidRPr="00293F71" w14:paraId="72EB1D35" w14:textId="77777777" w:rsidTr="00871CB3">
        <w:tc>
          <w:tcPr>
            <w:tcW w:w="5148" w:type="dxa"/>
            <w:shd w:val="clear" w:color="auto" w:fill="auto"/>
          </w:tcPr>
          <w:p w14:paraId="72EB1D33" w14:textId="77777777" w:rsidR="00273C38" w:rsidRPr="00B832E8" w:rsidRDefault="00273C38" w:rsidP="009E6F3C">
            <w:pPr>
              <w:spacing w:before="60" w:after="60"/>
              <w:ind w:left="636" w:hanging="284"/>
              <w:jc w:val="both"/>
              <w:rPr>
                <w:rFonts w:ascii="Arial" w:hAnsi="Arial" w:cs="Arial"/>
                <w:sz w:val="20"/>
                <w:szCs w:val="20"/>
                <w:lang w:val="fr-BE"/>
              </w:rPr>
            </w:pPr>
            <w:r w:rsidRPr="00B832E8">
              <w:rPr>
                <w:rFonts w:ascii="Arial" w:hAnsi="Arial" w:cs="Arial"/>
                <w:sz w:val="20"/>
                <w:szCs w:val="20"/>
                <w:lang w:val="fr-BE"/>
              </w:rPr>
              <w:t>a)</w:t>
            </w:r>
            <w:r w:rsidRPr="00B832E8">
              <w:rPr>
                <w:rFonts w:ascii="Arial" w:hAnsi="Arial" w:cs="Arial"/>
                <w:sz w:val="20"/>
                <w:szCs w:val="20"/>
                <w:lang w:val="fr-BE"/>
              </w:rPr>
              <w:tab/>
              <w:t>Des pertes d’exploitation récurrentes.</w:t>
            </w:r>
          </w:p>
        </w:tc>
        <w:tc>
          <w:tcPr>
            <w:tcW w:w="5148" w:type="dxa"/>
            <w:shd w:val="clear" w:color="auto" w:fill="auto"/>
          </w:tcPr>
          <w:p w14:paraId="72EB1D34" w14:textId="77777777" w:rsidR="00273C38" w:rsidRPr="00B832E8" w:rsidRDefault="00273C38" w:rsidP="00BC3976">
            <w:pPr>
              <w:pStyle w:val="BodyTextWithAbove"/>
              <w:rPr>
                <w:lang w:val="fr-BE"/>
              </w:rPr>
            </w:pPr>
          </w:p>
        </w:tc>
      </w:tr>
      <w:tr w:rsidR="00273C38" w:rsidRPr="00293F71" w14:paraId="72EB1D38" w14:textId="77777777" w:rsidTr="00871CB3">
        <w:tc>
          <w:tcPr>
            <w:tcW w:w="5148" w:type="dxa"/>
            <w:shd w:val="clear" w:color="auto" w:fill="auto"/>
          </w:tcPr>
          <w:p w14:paraId="72EB1D36" w14:textId="77777777" w:rsidR="00273C38" w:rsidRPr="00B832E8" w:rsidRDefault="00273C38" w:rsidP="00790E60">
            <w:pPr>
              <w:spacing w:before="60" w:after="60"/>
              <w:ind w:left="636" w:hanging="284"/>
              <w:jc w:val="both"/>
              <w:rPr>
                <w:rFonts w:ascii="Arial" w:hAnsi="Arial" w:cs="Arial"/>
                <w:sz w:val="20"/>
                <w:szCs w:val="20"/>
                <w:lang w:val="fr-BE"/>
              </w:rPr>
            </w:pPr>
            <w:r w:rsidRPr="00B832E8">
              <w:rPr>
                <w:rFonts w:ascii="Arial" w:hAnsi="Arial" w:cs="Arial"/>
                <w:sz w:val="20"/>
                <w:szCs w:val="20"/>
                <w:lang w:val="fr-BE"/>
              </w:rPr>
              <w:t>b)</w:t>
            </w:r>
            <w:r w:rsidRPr="00B832E8">
              <w:rPr>
                <w:rFonts w:ascii="Arial" w:hAnsi="Arial" w:cs="Arial"/>
                <w:sz w:val="20"/>
                <w:szCs w:val="20"/>
                <w:lang w:val="fr-BE"/>
              </w:rPr>
              <w:tab/>
              <w:t>Des cash-flows négatifs sur des opérations apparaissant dans les comptes</w:t>
            </w:r>
            <w:r w:rsidR="00DB55D0" w:rsidRPr="00B832E8">
              <w:rPr>
                <w:rFonts w:ascii="Arial" w:hAnsi="Arial" w:cs="Arial"/>
                <w:sz w:val="20"/>
                <w:szCs w:val="20"/>
                <w:lang w:val="fr-BE"/>
              </w:rPr>
              <w:t> </w:t>
            </w:r>
            <w:r w:rsidR="00782630" w:rsidRPr="00B832E8">
              <w:rPr>
                <w:rFonts w:ascii="Arial" w:hAnsi="Arial" w:cs="Arial"/>
                <w:sz w:val="20"/>
                <w:szCs w:val="20"/>
                <w:lang w:val="fr-BE"/>
              </w:rPr>
              <w:t>prévus dans les budgets.</w:t>
            </w:r>
          </w:p>
        </w:tc>
        <w:tc>
          <w:tcPr>
            <w:tcW w:w="5148" w:type="dxa"/>
            <w:shd w:val="clear" w:color="auto" w:fill="auto"/>
          </w:tcPr>
          <w:p w14:paraId="72EB1D37" w14:textId="77777777" w:rsidR="00273C38" w:rsidRPr="00B832E8" w:rsidRDefault="00273C38" w:rsidP="00BC3976">
            <w:pPr>
              <w:pStyle w:val="BodyTextWithAbove"/>
              <w:rPr>
                <w:lang w:val="fr-BE"/>
              </w:rPr>
            </w:pPr>
          </w:p>
        </w:tc>
      </w:tr>
      <w:tr w:rsidR="00273C38" w:rsidRPr="00B832E8" w14:paraId="72EB1D3B" w14:textId="77777777" w:rsidTr="00871CB3">
        <w:tc>
          <w:tcPr>
            <w:tcW w:w="5148" w:type="dxa"/>
            <w:shd w:val="clear" w:color="auto" w:fill="auto"/>
          </w:tcPr>
          <w:p w14:paraId="72EB1D39" w14:textId="77777777" w:rsidR="00273C38" w:rsidRPr="00B832E8" w:rsidRDefault="00273C38" w:rsidP="009E6F3C">
            <w:pPr>
              <w:spacing w:before="60" w:after="60"/>
              <w:ind w:left="636" w:hanging="284"/>
              <w:jc w:val="both"/>
              <w:rPr>
                <w:rFonts w:ascii="Arial" w:hAnsi="Arial" w:cs="Arial"/>
                <w:sz w:val="20"/>
                <w:szCs w:val="20"/>
                <w:lang w:val="fr-BE"/>
              </w:rPr>
            </w:pPr>
            <w:r w:rsidRPr="00B832E8">
              <w:rPr>
                <w:rFonts w:ascii="Arial" w:hAnsi="Arial" w:cs="Arial"/>
                <w:sz w:val="20"/>
                <w:szCs w:val="20"/>
                <w:lang w:val="fr-BE"/>
              </w:rPr>
              <w:t>c)</w:t>
            </w:r>
            <w:r w:rsidRPr="00B832E8">
              <w:rPr>
                <w:rFonts w:ascii="Arial" w:hAnsi="Arial" w:cs="Arial"/>
                <w:sz w:val="20"/>
                <w:szCs w:val="20"/>
                <w:lang w:val="fr-BE"/>
              </w:rPr>
              <w:tab/>
              <w:t xml:space="preserve">Des problèmes de cash-flow tels que des problèmes de paiement de factures ou d’emprunts. </w:t>
            </w:r>
          </w:p>
        </w:tc>
        <w:tc>
          <w:tcPr>
            <w:tcW w:w="5148" w:type="dxa"/>
            <w:shd w:val="clear" w:color="auto" w:fill="auto"/>
          </w:tcPr>
          <w:p w14:paraId="72EB1D3A" w14:textId="77777777" w:rsidR="00273C38" w:rsidRPr="00B832E8" w:rsidRDefault="00273C38" w:rsidP="00BC3976">
            <w:pPr>
              <w:pStyle w:val="BodyTextWithAbove"/>
              <w:rPr>
                <w:lang w:val="fr-BE"/>
              </w:rPr>
            </w:pPr>
          </w:p>
        </w:tc>
      </w:tr>
      <w:tr w:rsidR="00273C38" w:rsidRPr="00B832E8" w14:paraId="72EB1D3E" w14:textId="77777777" w:rsidTr="00871CB3">
        <w:tc>
          <w:tcPr>
            <w:tcW w:w="5148" w:type="dxa"/>
            <w:shd w:val="clear" w:color="auto" w:fill="auto"/>
          </w:tcPr>
          <w:p w14:paraId="72EB1D3C" w14:textId="77777777" w:rsidR="00273C38" w:rsidRPr="00B832E8" w:rsidRDefault="00273C38" w:rsidP="009E6F3C">
            <w:pPr>
              <w:spacing w:before="60" w:after="60"/>
              <w:ind w:left="636" w:hanging="284"/>
              <w:jc w:val="both"/>
              <w:rPr>
                <w:rFonts w:ascii="Arial" w:hAnsi="Arial" w:cs="Arial"/>
                <w:sz w:val="20"/>
                <w:szCs w:val="20"/>
                <w:lang w:val="fr-BE"/>
              </w:rPr>
            </w:pPr>
            <w:r w:rsidRPr="00B832E8">
              <w:rPr>
                <w:rFonts w:ascii="Arial" w:hAnsi="Arial" w:cs="Arial"/>
                <w:sz w:val="20"/>
                <w:szCs w:val="20"/>
                <w:lang w:val="fr-BE"/>
              </w:rPr>
              <w:t>d)</w:t>
            </w:r>
            <w:r w:rsidRPr="00B832E8">
              <w:rPr>
                <w:rFonts w:ascii="Arial" w:hAnsi="Arial" w:cs="Arial"/>
                <w:sz w:val="20"/>
                <w:szCs w:val="20"/>
                <w:lang w:val="fr-BE"/>
              </w:rPr>
              <w:tab/>
              <w:t>Une détérioration sérieuse dans le fonds de roulement ou les ratios de liquidités.</w:t>
            </w:r>
          </w:p>
        </w:tc>
        <w:tc>
          <w:tcPr>
            <w:tcW w:w="5148" w:type="dxa"/>
            <w:shd w:val="clear" w:color="auto" w:fill="auto"/>
          </w:tcPr>
          <w:p w14:paraId="72EB1D3D" w14:textId="77777777" w:rsidR="00273C38" w:rsidRPr="00B832E8" w:rsidRDefault="00273C38" w:rsidP="00BC3976">
            <w:pPr>
              <w:pStyle w:val="BodyTextWithAbove"/>
              <w:rPr>
                <w:lang w:val="fr-BE"/>
              </w:rPr>
            </w:pPr>
          </w:p>
        </w:tc>
      </w:tr>
      <w:tr w:rsidR="00273C38" w:rsidRPr="00B832E8" w14:paraId="72EB1D41" w14:textId="77777777" w:rsidTr="00871CB3">
        <w:tc>
          <w:tcPr>
            <w:tcW w:w="5148" w:type="dxa"/>
            <w:shd w:val="clear" w:color="auto" w:fill="auto"/>
          </w:tcPr>
          <w:p w14:paraId="72EB1D3F" w14:textId="77777777" w:rsidR="00273C38" w:rsidRPr="00B832E8" w:rsidRDefault="00273C38" w:rsidP="009E6F3C">
            <w:pPr>
              <w:spacing w:before="60" w:after="60"/>
              <w:ind w:left="636" w:hanging="284"/>
              <w:jc w:val="both"/>
              <w:rPr>
                <w:rFonts w:ascii="Arial" w:hAnsi="Arial" w:cs="Arial"/>
                <w:sz w:val="20"/>
                <w:szCs w:val="20"/>
                <w:lang w:val="fr-BE"/>
              </w:rPr>
            </w:pPr>
            <w:r w:rsidRPr="00B832E8">
              <w:rPr>
                <w:rFonts w:ascii="Arial" w:hAnsi="Arial" w:cs="Arial"/>
                <w:sz w:val="20"/>
                <w:szCs w:val="20"/>
                <w:lang w:val="fr-BE"/>
              </w:rPr>
              <w:t>e)</w:t>
            </w:r>
            <w:r w:rsidRPr="00B832E8">
              <w:rPr>
                <w:rFonts w:ascii="Arial" w:hAnsi="Arial" w:cs="Arial"/>
                <w:sz w:val="20"/>
                <w:szCs w:val="20"/>
                <w:lang w:val="fr-BE"/>
              </w:rPr>
              <w:tab/>
              <w:t>Des difficulté</w:t>
            </w:r>
            <w:r w:rsidR="00F722C6" w:rsidRPr="00B832E8">
              <w:rPr>
                <w:rFonts w:ascii="Arial" w:hAnsi="Arial" w:cs="Arial"/>
                <w:sz w:val="20"/>
                <w:szCs w:val="20"/>
                <w:lang w:val="fr-BE"/>
              </w:rPr>
              <w:t>s à obtenir de nouveaux crédits.</w:t>
            </w:r>
          </w:p>
        </w:tc>
        <w:tc>
          <w:tcPr>
            <w:tcW w:w="5148" w:type="dxa"/>
            <w:shd w:val="clear" w:color="auto" w:fill="auto"/>
          </w:tcPr>
          <w:p w14:paraId="72EB1D40" w14:textId="77777777" w:rsidR="00273C38" w:rsidRPr="00B832E8" w:rsidRDefault="00273C38" w:rsidP="00790E60">
            <w:pPr>
              <w:pStyle w:val="BodyTextWithAbove"/>
              <w:jc w:val="both"/>
              <w:rPr>
                <w:lang w:val="fr-BE"/>
              </w:rPr>
            </w:pPr>
          </w:p>
        </w:tc>
      </w:tr>
      <w:tr w:rsidR="00273C38" w:rsidRPr="00293F71" w14:paraId="72EB1D44" w14:textId="77777777" w:rsidTr="00871CB3">
        <w:tc>
          <w:tcPr>
            <w:tcW w:w="5148" w:type="dxa"/>
            <w:shd w:val="clear" w:color="auto" w:fill="auto"/>
          </w:tcPr>
          <w:p w14:paraId="72EB1D42" w14:textId="77777777" w:rsidR="00273C38" w:rsidRPr="00B832E8" w:rsidRDefault="00273C38" w:rsidP="003A0EBF">
            <w:pPr>
              <w:spacing w:before="60" w:after="60"/>
              <w:ind w:left="636" w:hanging="284"/>
              <w:jc w:val="both"/>
              <w:rPr>
                <w:lang w:val="fr-BE"/>
              </w:rPr>
            </w:pPr>
            <w:r w:rsidRPr="00B832E8">
              <w:rPr>
                <w:rFonts w:ascii="Arial" w:hAnsi="Arial" w:cs="Arial"/>
                <w:sz w:val="20"/>
                <w:szCs w:val="20"/>
                <w:lang w:val="fr-BE"/>
              </w:rPr>
              <w:t>f)</w:t>
            </w:r>
            <w:r w:rsidRPr="00B832E8">
              <w:rPr>
                <w:rFonts w:ascii="Arial" w:hAnsi="Arial" w:cs="Arial"/>
                <w:sz w:val="20"/>
                <w:szCs w:val="20"/>
                <w:lang w:val="fr-BE"/>
              </w:rPr>
              <w:tab/>
            </w:r>
            <w:r w:rsidR="000A6F9E" w:rsidRPr="00B832E8">
              <w:rPr>
                <w:rFonts w:ascii="Arial" w:hAnsi="Arial" w:cs="Arial"/>
                <w:sz w:val="20"/>
                <w:szCs w:val="20"/>
                <w:lang w:val="fr-BE"/>
              </w:rPr>
              <w:t>D</w:t>
            </w:r>
            <w:r w:rsidRPr="00B832E8">
              <w:rPr>
                <w:rFonts w:ascii="Arial" w:hAnsi="Arial" w:cs="Arial"/>
                <w:sz w:val="20"/>
                <w:szCs w:val="20"/>
                <w:lang w:val="fr-BE"/>
              </w:rPr>
              <w:t>éfaut ou difficultés à satisfaire les termes des conventions de prêts</w:t>
            </w:r>
            <w:r w:rsidR="000A6F9E" w:rsidRPr="00B832E8">
              <w:rPr>
                <w:rFonts w:ascii="Arial" w:hAnsi="Arial" w:cs="Arial"/>
                <w:sz w:val="20"/>
                <w:szCs w:val="20"/>
                <w:lang w:val="fr-BE"/>
              </w:rPr>
              <w:t>.</w:t>
            </w:r>
          </w:p>
        </w:tc>
        <w:tc>
          <w:tcPr>
            <w:tcW w:w="5148" w:type="dxa"/>
            <w:shd w:val="clear" w:color="auto" w:fill="auto"/>
          </w:tcPr>
          <w:p w14:paraId="72EB1D43" w14:textId="77777777" w:rsidR="00273C38" w:rsidRPr="00B832E8" w:rsidRDefault="00273C38" w:rsidP="00790E60">
            <w:pPr>
              <w:pStyle w:val="BodyTextWithAbove"/>
              <w:jc w:val="both"/>
              <w:rPr>
                <w:lang w:val="fr-BE"/>
              </w:rPr>
            </w:pPr>
          </w:p>
        </w:tc>
      </w:tr>
    </w:tbl>
    <w:p w14:paraId="72EB1D45" w14:textId="77777777" w:rsidR="003A0EBF" w:rsidRPr="00842030" w:rsidRDefault="003A0EBF">
      <w:pPr>
        <w:rPr>
          <w:lang w:val="fr-BE"/>
        </w:rPr>
      </w:pPr>
      <w:r w:rsidRPr="00842030">
        <w:rPr>
          <w:lang w:val="fr-BE"/>
        </w:rPr>
        <w:lastRenderedPageBreak/>
        <w:br w:type="page"/>
      </w:r>
    </w:p>
    <w:tbl>
      <w:tblPr>
        <w:tblW w:w="10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9E6F3C" w:rsidRPr="00B832E8" w14:paraId="72EB1D48" w14:textId="77777777" w:rsidTr="00F663A1">
        <w:trPr>
          <w:tblHeader/>
        </w:trPr>
        <w:tc>
          <w:tcPr>
            <w:tcW w:w="5148" w:type="dxa"/>
            <w:shd w:val="clear" w:color="auto" w:fill="A6A6A6"/>
          </w:tcPr>
          <w:p w14:paraId="72EB1D46" w14:textId="77777777" w:rsidR="009E6F3C" w:rsidRPr="00B832E8" w:rsidRDefault="009E6F3C" w:rsidP="00F663A1">
            <w:pPr>
              <w:pStyle w:val="BodyTextWithAbove"/>
              <w:rPr>
                <w:lang w:val="fr-BE"/>
              </w:rPr>
            </w:pPr>
          </w:p>
        </w:tc>
        <w:tc>
          <w:tcPr>
            <w:tcW w:w="5148" w:type="dxa"/>
            <w:shd w:val="clear" w:color="auto" w:fill="A6A6A6"/>
          </w:tcPr>
          <w:p w14:paraId="72EB1D47" w14:textId="77777777" w:rsidR="009E6F3C" w:rsidRPr="00B832E8" w:rsidRDefault="009E6F3C" w:rsidP="00F663A1">
            <w:pPr>
              <w:pStyle w:val="BodyTextWithAbove"/>
              <w:rPr>
                <w:lang w:val="fr-BE"/>
              </w:rPr>
            </w:pPr>
            <w:r w:rsidRPr="00B832E8">
              <w:rPr>
                <w:lang w:val="fr-BE"/>
              </w:rPr>
              <w:t>Commentaires</w:t>
            </w:r>
          </w:p>
        </w:tc>
      </w:tr>
      <w:tr w:rsidR="009E6F3C" w:rsidRPr="00293F71" w14:paraId="72EB1D4A" w14:textId="77777777" w:rsidTr="00F663A1">
        <w:tc>
          <w:tcPr>
            <w:tcW w:w="10296" w:type="dxa"/>
            <w:gridSpan w:val="2"/>
            <w:shd w:val="clear" w:color="auto" w:fill="D9D9D9"/>
          </w:tcPr>
          <w:p w14:paraId="72EB1D49" w14:textId="77777777" w:rsidR="009E6F3C" w:rsidRPr="00B832E8" w:rsidRDefault="009E6F3C" w:rsidP="00F663A1">
            <w:pPr>
              <w:pStyle w:val="BodyTextWithAbove"/>
              <w:rPr>
                <w:b/>
                <w:lang w:val="fr-BE"/>
              </w:rPr>
            </w:pPr>
            <w:r w:rsidRPr="00B832E8">
              <w:rPr>
                <w:b/>
                <w:lang w:val="fr-BE"/>
              </w:rPr>
              <w:t>PARTIE 1 : IDENTIFICATION EVENEMENTS ET CIRCONSTANCES</w:t>
            </w:r>
          </w:p>
        </w:tc>
      </w:tr>
      <w:tr w:rsidR="00273C38" w:rsidRPr="00293F71" w14:paraId="72EB1D4D" w14:textId="77777777" w:rsidTr="00871CB3">
        <w:tc>
          <w:tcPr>
            <w:tcW w:w="5148" w:type="dxa"/>
            <w:shd w:val="clear" w:color="auto" w:fill="auto"/>
          </w:tcPr>
          <w:p w14:paraId="72EB1D4B" w14:textId="77777777" w:rsidR="00273C38" w:rsidRPr="00B832E8" w:rsidRDefault="00273C38" w:rsidP="009E6F3C">
            <w:pPr>
              <w:spacing w:before="60" w:after="60"/>
              <w:ind w:left="636" w:hanging="284"/>
              <w:jc w:val="both"/>
              <w:rPr>
                <w:rFonts w:ascii="Arial" w:hAnsi="Arial" w:cs="Arial"/>
                <w:sz w:val="20"/>
                <w:szCs w:val="20"/>
                <w:lang w:val="fr-BE"/>
              </w:rPr>
            </w:pPr>
            <w:r w:rsidRPr="00B832E8">
              <w:rPr>
                <w:rFonts w:ascii="Arial" w:hAnsi="Arial" w:cs="Arial"/>
                <w:sz w:val="20"/>
                <w:szCs w:val="20"/>
                <w:lang w:val="fr-BE"/>
              </w:rPr>
              <w:t>g)</w:t>
            </w:r>
            <w:r w:rsidRPr="00B832E8">
              <w:rPr>
                <w:rFonts w:ascii="Arial" w:hAnsi="Arial" w:cs="Arial"/>
                <w:sz w:val="20"/>
                <w:szCs w:val="20"/>
                <w:lang w:val="fr-BE"/>
              </w:rPr>
              <w:tab/>
            </w:r>
            <w:r w:rsidR="000A6F9E" w:rsidRPr="00B832E8">
              <w:rPr>
                <w:rFonts w:ascii="Arial" w:hAnsi="Arial" w:cs="Arial"/>
                <w:sz w:val="20"/>
                <w:szCs w:val="20"/>
                <w:lang w:val="fr-BE"/>
              </w:rPr>
              <w:t>D</w:t>
            </w:r>
            <w:r w:rsidRPr="00B832E8">
              <w:rPr>
                <w:rFonts w:ascii="Arial" w:hAnsi="Arial" w:cs="Arial"/>
                <w:sz w:val="20"/>
                <w:szCs w:val="20"/>
                <w:lang w:val="fr-BE"/>
              </w:rPr>
              <w:t>es changements défavorables dans les conditions de crédit fournisseurs</w:t>
            </w:r>
            <w:r w:rsidR="000A6F9E" w:rsidRPr="00B832E8">
              <w:rPr>
                <w:rFonts w:ascii="Arial" w:hAnsi="Arial" w:cs="Arial"/>
                <w:sz w:val="20"/>
                <w:szCs w:val="20"/>
                <w:lang w:val="fr-BE"/>
              </w:rPr>
              <w:t>.</w:t>
            </w:r>
          </w:p>
        </w:tc>
        <w:tc>
          <w:tcPr>
            <w:tcW w:w="5148" w:type="dxa"/>
            <w:shd w:val="clear" w:color="auto" w:fill="auto"/>
          </w:tcPr>
          <w:p w14:paraId="72EB1D4C" w14:textId="77777777" w:rsidR="00273C38" w:rsidRPr="00B832E8" w:rsidRDefault="00273C38" w:rsidP="00790E60">
            <w:pPr>
              <w:pStyle w:val="BodyTextWithAbove"/>
              <w:jc w:val="both"/>
              <w:rPr>
                <w:lang w:val="fr-BE"/>
              </w:rPr>
            </w:pPr>
          </w:p>
        </w:tc>
      </w:tr>
      <w:tr w:rsidR="00273C38" w:rsidRPr="00293F71" w14:paraId="72EB1D50" w14:textId="77777777" w:rsidTr="00871CB3">
        <w:tc>
          <w:tcPr>
            <w:tcW w:w="5148" w:type="dxa"/>
            <w:shd w:val="clear" w:color="auto" w:fill="auto"/>
          </w:tcPr>
          <w:p w14:paraId="72EB1D4E" w14:textId="77777777" w:rsidR="00273C38" w:rsidRPr="00B832E8" w:rsidRDefault="00273C38" w:rsidP="009E6F3C">
            <w:pPr>
              <w:spacing w:before="60" w:after="60"/>
              <w:ind w:left="636" w:hanging="284"/>
              <w:jc w:val="both"/>
              <w:rPr>
                <w:rFonts w:ascii="Arial" w:hAnsi="Arial" w:cs="Arial"/>
                <w:sz w:val="20"/>
                <w:szCs w:val="20"/>
                <w:lang w:val="fr-BE"/>
              </w:rPr>
            </w:pPr>
            <w:r w:rsidRPr="00B832E8">
              <w:rPr>
                <w:rFonts w:ascii="Arial" w:hAnsi="Arial" w:cs="Arial"/>
                <w:sz w:val="20"/>
                <w:szCs w:val="20"/>
                <w:lang w:val="fr-BE"/>
              </w:rPr>
              <w:t>h)</w:t>
            </w:r>
            <w:r w:rsidRPr="00B832E8">
              <w:rPr>
                <w:rFonts w:ascii="Arial" w:hAnsi="Arial" w:cs="Arial"/>
                <w:sz w:val="20"/>
                <w:szCs w:val="20"/>
                <w:lang w:val="fr-BE"/>
              </w:rPr>
              <w:tab/>
            </w:r>
            <w:r w:rsidR="000A6F9E" w:rsidRPr="00B832E8">
              <w:rPr>
                <w:rFonts w:ascii="Arial" w:hAnsi="Arial" w:cs="Arial"/>
                <w:sz w:val="20"/>
                <w:szCs w:val="20"/>
                <w:lang w:val="fr-BE"/>
              </w:rPr>
              <w:t>L</w:t>
            </w:r>
            <w:r w:rsidRPr="00B832E8">
              <w:rPr>
                <w:rFonts w:ascii="Arial" w:hAnsi="Arial" w:cs="Arial"/>
                <w:sz w:val="20"/>
                <w:szCs w:val="20"/>
                <w:lang w:val="fr-BE"/>
              </w:rPr>
              <w:t>itiges sociaux, arrêts de travail ou grèves</w:t>
            </w:r>
            <w:r w:rsidR="000A6F9E" w:rsidRPr="00B832E8">
              <w:rPr>
                <w:rFonts w:ascii="Arial" w:hAnsi="Arial" w:cs="Arial"/>
                <w:sz w:val="20"/>
                <w:szCs w:val="20"/>
                <w:lang w:val="fr-BE"/>
              </w:rPr>
              <w:t>.</w:t>
            </w:r>
            <w:r w:rsidRPr="00B832E8">
              <w:rPr>
                <w:rFonts w:ascii="Arial" w:hAnsi="Arial" w:cs="Arial"/>
                <w:sz w:val="20"/>
                <w:szCs w:val="20"/>
                <w:lang w:val="fr-BE"/>
              </w:rPr>
              <w:t xml:space="preserve"> </w:t>
            </w:r>
          </w:p>
        </w:tc>
        <w:tc>
          <w:tcPr>
            <w:tcW w:w="5148" w:type="dxa"/>
            <w:shd w:val="clear" w:color="auto" w:fill="auto"/>
          </w:tcPr>
          <w:p w14:paraId="72EB1D4F" w14:textId="77777777" w:rsidR="00273C38" w:rsidRPr="00B832E8" w:rsidRDefault="00273C38" w:rsidP="00790E60">
            <w:pPr>
              <w:pStyle w:val="BodyTextWithAbove"/>
              <w:jc w:val="both"/>
              <w:rPr>
                <w:lang w:val="fr-BE"/>
              </w:rPr>
            </w:pPr>
          </w:p>
        </w:tc>
      </w:tr>
      <w:tr w:rsidR="00273C38" w:rsidRPr="00B832E8" w14:paraId="72EB1D53" w14:textId="77777777" w:rsidTr="00871CB3">
        <w:tc>
          <w:tcPr>
            <w:tcW w:w="5148" w:type="dxa"/>
            <w:shd w:val="clear" w:color="auto" w:fill="auto"/>
          </w:tcPr>
          <w:p w14:paraId="72EB1D51" w14:textId="77777777" w:rsidR="00273C38" w:rsidRPr="00B832E8" w:rsidRDefault="00273C38" w:rsidP="009E6F3C">
            <w:pPr>
              <w:spacing w:before="60" w:after="60"/>
              <w:ind w:left="636" w:hanging="284"/>
              <w:jc w:val="both"/>
              <w:rPr>
                <w:rFonts w:ascii="Arial" w:hAnsi="Arial" w:cs="Arial"/>
                <w:sz w:val="20"/>
                <w:szCs w:val="20"/>
                <w:lang w:val="fr-BE"/>
              </w:rPr>
            </w:pPr>
            <w:r w:rsidRPr="00B832E8">
              <w:rPr>
                <w:rFonts w:ascii="Arial" w:hAnsi="Arial" w:cs="Arial"/>
                <w:sz w:val="20"/>
                <w:szCs w:val="20"/>
                <w:lang w:val="fr-BE"/>
              </w:rPr>
              <w:t>i)</w:t>
            </w:r>
            <w:r w:rsidRPr="00B832E8">
              <w:rPr>
                <w:rFonts w:ascii="Arial" w:hAnsi="Arial" w:cs="Arial"/>
                <w:sz w:val="20"/>
                <w:szCs w:val="20"/>
                <w:lang w:val="fr-BE"/>
              </w:rPr>
              <w:tab/>
            </w:r>
            <w:r w:rsidR="000A6F9E" w:rsidRPr="00B832E8">
              <w:rPr>
                <w:rFonts w:ascii="Arial" w:hAnsi="Arial" w:cs="Arial"/>
                <w:sz w:val="20"/>
                <w:szCs w:val="20"/>
                <w:lang w:val="fr-BE"/>
              </w:rPr>
              <w:t>P</w:t>
            </w:r>
            <w:r w:rsidRPr="00B832E8">
              <w:rPr>
                <w:rFonts w:ascii="Arial" w:hAnsi="Arial" w:cs="Arial"/>
                <w:sz w:val="20"/>
                <w:szCs w:val="20"/>
                <w:lang w:val="fr-BE"/>
              </w:rPr>
              <w:t>erte de personnel clé</w:t>
            </w:r>
            <w:r w:rsidR="000A6F9E" w:rsidRPr="00B832E8">
              <w:rPr>
                <w:rFonts w:ascii="Arial" w:hAnsi="Arial" w:cs="Arial"/>
                <w:sz w:val="20"/>
                <w:szCs w:val="20"/>
                <w:lang w:val="fr-BE"/>
              </w:rPr>
              <w:t>.</w:t>
            </w:r>
          </w:p>
        </w:tc>
        <w:tc>
          <w:tcPr>
            <w:tcW w:w="5148" w:type="dxa"/>
            <w:shd w:val="clear" w:color="auto" w:fill="auto"/>
          </w:tcPr>
          <w:p w14:paraId="72EB1D52" w14:textId="77777777" w:rsidR="00273C38" w:rsidRPr="00B832E8" w:rsidRDefault="00273C38" w:rsidP="00790E60">
            <w:pPr>
              <w:pStyle w:val="BodyTextWithAbove"/>
              <w:jc w:val="both"/>
              <w:rPr>
                <w:lang w:val="fr-BE"/>
              </w:rPr>
            </w:pPr>
          </w:p>
        </w:tc>
      </w:tr>
      <w:tr w:rsidR="00273C38" w:rsidRPr="00293F71" w14:paraId="72EB1D56" w14:textId="77777777" w:rsidTr="00871CB3">
        <w:tc>
          <w:tcPr>
            <w:tcW w:w="5148" w:type="dxa"/>
            <w:shd w:val="clear" w:color="auto" w:fill="auto"/>
          </w:tcPr>
          <w:p w14:paraId="72EB1D54" w14:textId="77777777" w:rsidR="00273C38" w:rsidRPr="00B832E8" w:rsidRDefault="00273C38" w:rsidP="009E6F3C">
            <w:pPr>
              <w:spacing w:before="60" w:after="60"/>
              <w:ind w:left="636" w:hanging="284"/>
              <w:jc w:val="both"/>
              <w:rPr>
                <w:rFonts w:ascii="Arial" w:hAnsi="Arial" w:cs="Arial"/>
                <w:sz w:val="20"/>
                <w:szCs w:val="20"/>
                <w:lang w:val="fr-BE"/>
              </w:rPr>
            </w:pPr>
            <w:r w:rsidRPr="00B832E8">
              <w:rPr>
                <w:rFonts w:ascii="Arial" w:hAnsi="Arial" w:cs="Arial"/>
                <w:sz w:val="20"/>
                <w:szCs w:val="20"/>
                <w:lang w:val="fr-BE"/>
              </w:rPr>
              <w:t>j)</w:t>
            </w:r>
            <w:r w:rsidRPr="00B832E8">
              <w:rPr>
                <w:rFonts w:ascii="Arial" w:hAnsi="Arial" w:cs="Arial"/>
                <w:sz w:val="20"/>
                <w:szCs w:val="20"/>
                <w:lang w:val="fr-BE"/>
              </w:rPr>
              <w:tab/>
            </w:r>
            <w:r w:rsidR="000A6F9E" w:rsidRPr="00B832E8">
              <w:rPr>
                <w:rFonts w:ascii="Arial" w:hAnsi="Arial" w:cs="Arial"/>
                <w:sz w:val="20"/>
                <w:szCs w:val="20"/>
                <w:lang w:val="fr-BE"/>
              </w:rPr>
              <w:t>P</w:t>
            </w:r>
            <w:r w:rsidRPr="00B832E8">
              <w:rPr>
                <w:rFonts w:ascii="Arial" w:hAnsi="Arial" w:cs="Arial"/>
                <w:sz w:val="20"/>
                <w:szCs w:val="20"/>
                <w:lang w:val="fr-BE"/>
              </w:rPr>
              <w:t>erte de droits légaux en vertu d’accords tels que les franchises, brevets, licences, accords de distribution, etc.</w:t>
            </w:r>
          </w:p>
        </w:tc>
        <w:tc>
          <w:tcPr>
            <w:tcW w:w="5148" w:type="dxa"/>
            <w:shd w:val="clear" w:color="auto" w:fill="auto"/>
          </w:tcPr>
          <w:p w14:paraId="72EB1D55" w14:textId="77777777" w:rsidR="00273C38" w:rsidRPr="00B832E8" w:rsidRDefault="00273C38" w:rsidP="00790E60">
            <w:pPr>
              <w:pStyle w:val="BodyTextWithAbove"/>
              <w:jc w:val="both"/>
              <w:rPr>
                <w:lang w:val="fr-BE"/>
              </w:rPr>
            </w:pPr>
          </w:p>
        </w:tc>
      </w:tr>
      <w:tr w:rsidR="00273C38" w:rsidRPr="00293F71" w14:paraId="72EB1D59" w14:textId="77777777" w:rsidTr="00871CB3">
        <w:tc>
          <w:tcPr>
            <w:tcW w:w="5148" w:type="dxa"/>
            <w:shd w:val="clear" w:color="auto" w:fill="auto"/>
          </w:tcPr>
          <w:p w14:paraId="72EB1D57" w14:textId="77777777" w:rsidR="00273C38" w:rsidRPr="00B832E8" w:rsidRDefault="00273C38" w:rsidP="009E6F3C">
            <w:pPr>
              <w:spacing w:before="60" w:after="60"/>
              <w:ind w:left="636" w:hanging="284"/>
              <w:jc w:val="both"/>
              <w:rPr>
                <w:rFonts w:ascii="Arial" w:hAnsi="Arial" w:cs="Arial"/>
                <w:sz w:val="20"/>
                <w:szCs w:val="20"/>
                <w:lang w:val="fr-BE"/>
              </w:rPr>
            </w:pPr>
            <w:r w:rsidRPr="00B832E8">
              <w:rPr>
                <w:rFonts w:ascii="Arial" w:hAnsi="Arial" w:cs="Arial"/>
                <w:sz w:val="20"/>
                <w:szCs w:val="20"/>
                <w:lang w:val="fr-BE"/>
              </w:rPr>
              <w:t>k)</w:t>
            </w:r>
            <w:r w:rsidRPr="00B832E8">
              <w:rPr>
                <w:rFonts w:ascii="Arial" w:hAnsi="Arial" w:cs="Arial"/>
                <w:sz w:val="20"/>
                <w:szCs w:val="20"/>
                <w:lang w:val="fr-BE"/>
              </w:rPr>
              <w:tab/>
            </w:r>
            <w:r w:rsidR="000A6F9E" w:rsidRPr="00B832E8">
              <w:rPr>
                <w:rFonts w:ascii="Arial" w:hAnsi="Arial" w:cs="Arial"/>
                <w:sz w:val="20"/>
                <w:szCs w:val="20"/>
                <w:lang w:val="fr-BE"/>
              </w:rPr>
              <w:t>P</w:t>
            </w:r>
            <w:r w:rsidRPr="00B832E8">
              <w:rPr>
                <w:rFonts w:ascii="Arial" w:hAnsi="Arial" w:cs="Arial"/>
                <w:sz w:val="20"/>
                <w:szCs w:val="20"/>
                <w:lang w:val="fr-BE"/>
              </w:rPr>
              <w:t>erte de clients ou fournisseurs clés</w:t>
            </w:r>
            <w:r w:rsidR="000A6F9E" w:rsidRPr="00B832E8">
              <w:rPr>
                <w:rFonts w:ascii="Arial" w:hAnsi="Arial" w:cs="Arial"/>
                <w:sz w:val="20"/>
                <w:szCs w:val="20"/>
                <w:lang w:val="fr-BE"/>
              </w:rPr>
              <w:t>.</w:t>
            </w:r>
          </w:p>
        </w:tc>
        <w:tc>
          <w:tcPr>
            <w:tcW w:w="5148" w:type="dxa"/>
            <w:shd w:val="clear" w:color="auto" w:fill="auto"/>
          </w:tcPr>
          <w:p w14:paraId="72EB1D58" w14:textId="77777777" w:rsidR="00273C38" w:rsidRPr="00B832E8" w:rsidRDefault="00273C38" w:rsidP="00790E60">
            <w:pPr>
              <w:pStyle w:val="BodyTextWithAbove"/>
              <w:jc w:val="both"/>
              <w:rPr>
                <w:lang w:val="fr-BE"/>
              </w:rPr>
            </w:pPr>
          </w:p>
        </w:tc>
      </w:tr>
      <w:tr w:rsidR="00273C38" w:rsidRPr="00293F71" w14:paraId="72EB1D5C" w14:textId="77777777" w:rsidTr="00871CB3">
        <w:tc>
          <w:tcPr>
            <w:tcW w:w="5148" w:type="dxa"/>
            <w:shd w:val="clear" w:color="auto" w:fill="auto"/>
          </w:tcPr>
          <w:p w14:paraId="72EB1D5A" w14:textId="77777777" w:rsidR="00273C38" w:rsidRPr="00B832E8" w:rsidRDefault="00273C38" w:rsidP="009E6F3C">
            <w:pPr>
              <w:spacing w:before="60" w:after="60"/>
              <w:ind w:left="636" w:hanging="284"/>
              <w:jc w:val="both"/>
              <w:rPr>
                <w:rFonts w:ascii="Arial" w:hAnsi="Arial" w:cs="Arial"/>
                <w:sz w:val="20"/>
                <w:szCs w:val="20"/>
                <w:lang w:val="fr-BE"/>
              </w:rPr>
            </w:pPr>
            <w:r w:rsidRPr="00B832E8">
              <w:rPr>
                <w:rFonts w:ascii="Arial" w:hAnsi="Arial" w:cs="Arial"/>
                <w:sz w:val="20"/>
                <w:szCs w:val="20"/>
                <w:lang w:val="fr-BE"/>
              </w:rPr>
              <w:t>l)</w:t>
            </w:r>
            <w:r w:rsidRPr="00B832E8">
              <w:rPr>
                <w:rFonts w:ascii="Arial" w:hAnsi="Arial" w:cs="Arial"/>
                <w:sz w:val="20"/>
                <w:szCs w:val="20"/>
                <w:lang w:val="fr-BE"/>
              </w:rPr>
              <w:tab/>
            </w:r>
            <w:r w:rsidR="000A6F9E" w:rsidRPr="00B832E8">
              <w:rPr>
                <w:rFonts w:ascii="Arial" w:hAnsi="Arial" w:cs="Arial"/>
                <w:sz w:val="20"/>
                <w:szCs w:val="20"/>
                <w:lang w:val="fr-BE"/>
              </w:rPr>
              <w:t>S</w:t>
            </w:r>
            <w:r w:rsidRPr="00B832E8">
              <w:rPr>
                <w:rFonts w:ascii="Arial" w:hAnsi="Arial" w:cs="Arial"/>
                <w:sz w:val="20"/>
                <w:szCs w:val="20"/>
                <w:lang w:val="fr-BE"/>
              </w:rPr>
              <w:t>urvenance d’un sinistre non assuré</w:t>
            </w:r>
            <w:r w:rsidR="000A6F9E" w:rsidRPr="00B832E8">
              <w:rPr>
                <w:rFonts w:ascii="Arial" w:hAnsi="Arial" w:cs="Arial"/>
                <w:sz w:val="20"/>
                <w:szCs w:val="20"/>
                <w:lang w:val="fr-BE"/>
              </w:rPr>
              <w:t>.</w:t>
            </w:r>
          </w:p>
        </w:tc>
        <w:tc>
          <w:tcPr>
            <w:tcW w:w="5148" w:type="dxa"/>
            <w:shd w:val="clear" w:color="auto" w:fill="auto"/>
          </w:tcPr>
          <w:p w14:paraId="72EB1D5B" w14:textId="77777777" w:rsidR="00273C38" w:rsidRPr="00B832E8" w:rsidRDefault="00273C38" w:rsidP="00790E60">
            <w:pPr>
              <w:pStyle w:val="BodyTextWithAbove"/>
              <w:jc w:val="both"/>
              <w:rPr>
                <w:lang w:val="fr-BE"/>
              </w:rPr>
            </w:pPr>
          </w:p>
        </w:tc>
      </w:tr>
      <w:tr w:rsidR="00273C38" w:rsidRPr="00293F71" w14:paraId="72EB1D5F" w14:textId="77777777" w:rsidTr="00871CB3">
        <w:tc>
          <w:tcPr>
            <w:tcW w:w="5148" w:type="dxa"/>
            <w:shd w:val="clear" w:color="auto" w:fill="auto"/>
          </w:tcPr>
          <w:p w14:paraId="72EB1D5D" w14:textId="77777777" w:rsidR="00273C38" w:rsidRPr="00B832E8" w:rsidRDefault="00273C38" w:rsidP="009E6F3C">
            <w:pPr>
              <w:spacing w:before="60" w:after="60"/>
              <w:ind w:left="636" w:hanging="284"/>
              <w:jc w:val="both"/>
              <w:rPr>
                <w:rFonts w:ascii="Arial" w:hAnsi="Arial" w:cs="Arial"/>
                <w:sz w:val="20"/>
                <w:szCs w:val="20"/>
                <w:lang w:val="fr-BE"/>
              </w:rPr>
            </w:pPr>
            <w:r w:rsidRPr="00B832E8">
              <w:rPr>
                <w:rFonts w:ascii="Arial" w:hAnsi="Arial" w:cs="Arial"/>
                <w:sz w:val="20"/>
                <w:szCs w:val="20"/>
                <w:lang w:val="fr-BE"/>
              </w:rPr>
              <w:t>m)</w:t>
            </w:r>
            <w:r w:rsidRPr="00B832E8">
              <w:rPr>
                <w:rFonts w:ascii="Arial" w:hAnsi="Arial" w:cs="Arial"/>
                <w:sz w:val="20"/>
                <w:szCs w:val="20"/>
                <w:lang w:val="fr-BE"/>
              </w:rPr>
              <w:tab/>
            </w:r>
            <w:r w:rsidR="000A6F9E" w:rsidRPr="00B832E8">
              <w:rPr>
                <w:rFonts w:ascii="Arial" w:hAnsi="Arial" w:cs="Arial"/>
                <w:sz w:val="20"/>
                <w:szCs w:val="20"/>
                <w:lang w:val="fr-BE"/>
              </w:rPr>
              <w:t>L</w:t>
            </w:r>
            <w:r w:rsidRPr="00B832E8">
              <w:rPr>
                <w:rFonts w:ascii="Arial" w:hAnsi="Arial" w:cs="Arial"/>
                <w:sz w:val="20"/>
                <w:szCs w:val="20"/>
                <w:lang w:val="fr-BE"/>
              </w:rPr>
              <w:t xml:space="preserve">’entité est « enfermée » dans des </w:t>
            </w:r>
            <w:r w:rsidR="00293F71">
              <w:rPr>
                <w:rFonts w:ascii="Arial" w:hAnsi="Arial" w:cs="Arial"/>
                <w:sz w:val="20"/>
                <w:szCs w:val="20"/>
                <w:lang w:val="fr-BE"/>
              </w:rPr>
              <w:t xml:space="preserve">contrats ou des engagements non </w:t>
            </w:r>
            <w:r w:rsidRPr="00B832E8">
              <w:rPr>
                <w:rFonts w:ascii="Arial" w:hAnsi="Arial" w:cs="Arial"/>
                <w:sz w:val="20"/>
                <w:szCs w:val="20"/>
                <w:lang w:val="fr-BE"/>
              </w:rPr>
              <w:t>profitables</w:t>
            </w:r>
            <w:r w:rsidR="000A6F9E" w:rsidRPr="00B832E8">
              <w:rPr>
                <w:rFonts w:ascii="Arial" w:hAnsi="Arial" w:cs="Arial"/>
                <w:sz w:val="20"/>
                <w:szCs w:val="20"/>
                <w:lang w:val="fr-BE"/>
              </w:rPr>
              <w:t>.</w:t>
            </w:r>
          </w:p>
        </w:tc>
        <w:tc>
          <w:tcPr>
            <w:tcW w:w="5148" w:type="dxa"/>
            <w:shd w:val="clear" w:color="auto" w:fill="auto"/>
          </w:tcPr>
          <w:p w14:paraId="72EB1D5E" w14:textId="77777777" w:rsidR="00273C38" w:rsidRPr="00B832E8" w:rsidRDefault="00273C38" w:rsidP="00790E60">
            <w:pPr>
              <w:pStyle w:val="BodyTextWithAbove"/>
              <w:jc w:val="both"/>
              <w:rPr>
                <w:lang w:val="fr-BE"/>
              </w:rPr>
            </w:pPr>
          </w:p>
        </w:tc>
      </w:tr>
      <w:tr w:rsidR="00273C38" w:rsidRPr="00B832E8" w14:paraId="72EB1D62" w14:textId="77777777" w:rsidTr="00871CB3">
        <w:tc>
          <w:tcPr>
            <w:tcW w:w="5148" w:type="dxa"/>
            <w:shd w:val="clear" w:color="auto" w:fill="auto"/>
          </w:tcPr>
          <w:p w14:paraId="72EB1D60" w14:textId="77777777" w:rsidR="00273C38" w:rsidRPr="00B832E8" w:rsidRDefault="00273C38" w:rsidP="009E6F3C">
            <w:pPr>
              <w:spacing w:before="60" w:after="60"/>
              <w:ind w:left="636" w:hanging="284"/>
              <w:jc w:val="both"/>
              <w:rPr>
                <w:rFonts w:ascii="Arial" w:hAnsi="Arial" w:cs="Arial"/>
                <w:sz w:val="20"/>
                <w:szCs w:val="20"/>
                <w:lang w:val="fr-BE"/>
              </w:rPr>
            </w:pPr>
            <w:r w:rsidRPr="00B832E8">
              <w:rPr>
                <w:rFonts w:ascii="Arial" w:hAnsi="Arial" w:cs="Arial"/>
                <w:sz w:val="20"/>
                <w:szCs w:val="20"/>
                <w:lang w:val="fr-BE"/>
              </w:rPr>
              <w:t>n)</w:t>
            </w:r>
            <w:r w:rsidRPr="00B832E8">
              <w:rPr>
                <w:rFonts w:ascii="Arial" w:hAnsi="Arial" w:cs="Arial"/>
                <w:sz w:val="20"/>
                <w:szCs w:val="20"/>
                <w:lang w:val="fr-BE"/>
              </w:rPr>
              <w:tab/>
            </w:r>
            <w:r w:rsidR="000A6F9E" w:rsidRPr="00B832E8">
              <w:rPr>
                <w:rFonts w:ascii="Arial" w:hAnsi="Arial" w:cs="Arial"/>
                <w:sz w:val="20"/>
                <w:szCs w:val="20"/>
                <w:lang w:val="fr-BE"/>
              </w:rPr>
              <w:t>D</w:t>
            </w:r>
            <w:r w:rsidRPr="00B832E8">
              <w:rPr>
                <w:rFonts w:ascii="Arial" w:hAnsi="Arial" w:cs="Arial"/>
                <w:sz w:val="20"/>
                <w:szCs w:val="20"/>
                <w:lang w:val="fr-BE"/>
              </w:rPr>
              <w:t>es conséquences potentiellement défavorables de litiges ou d’imprévus</w:t>
            </w:r>
            <w:r w:rsidR="000A6F9E" w:rsidRPr="00B832E8">
              <w:rPr>
                <w:rFonts w:ascii="Arial" w:hAnsi="Arial" w:cs="Arial"/>
                <w:sz w:val="20"/>
                <w:szCs w:val="20"/>
                <w:lang w:val="fr-BE"/>
              </w:rPr>
              <w:t>.</w:t>
            </w:r>
          </w:p>
        </w:tc>
        <w:tc>
          <w:tcPr>
            <w:tcW w:w="5148" w:type="dxa"/>
            <w:shd w:val="clear" w:color="auto" w:fill="auto"/>
          </w:tcPr>
          <w:p w14:paraId="72EB1D61" w14:textId="77777777" w:rsidR="00273C38" w:rsidRPr="00B832E8" w:rsidRDefault="00273C38" w:rsidP="00790E60">
            <w:pPr>
              <w:pStyle w:val="BodyTextWithAbove"/>
              <w:jc w:val="both"/>
              <w:rPr>
                <w:lang w:val="fr-BE"/>
              </w:rPr>
            </w:pPr>
          </w:p>
        </w:tc>
      </w:tr>
      <w:tr w:rsidR="00273C38" w:rsidRPr="00293F71" w14:paraId="72EB1D65" w14:textId="77777777" w:rsidTr="00871CB3">
        <w:tc>
          <w:tcPr>
            <w:tcW w:w="5148" w:type="dxa"/>
            <w:shd w:val="clear" w:color="auto" w:fill="auto"/>
          </w:tcPr>
          <w:p w14:paraId="72EB1D63" w14:textId="77777777" w:rsidR="00273C38" w:rsidRPr="00B832E8" w:rsidRDefault="00273C38" w:rsidP="009E6F3C">
            <w:pPr>
              <w:spacing w:before="60" w:after="60"/>
              <w:ind w:left="636" w:hanging="284"/>
              <w:jc w:val="both"/>
              <w:rPr>
                <w:rFonts w:ascii="Arial" w:hAnsi="Arial" w:cs="Arial"/>
                <w:sz w:val="20"/>
                <w:szCs w:val="20"/>
                <w:lang w:val="fr-BE"/>
              </w:rPr>
            </w:pPr>
            <w:r w:rsidRPr="00B832E8">
              <w:rPr>
                <w:rFonts w:ascii="Arial" w:hAnsi="Arial" w:cs="Arial"/>
                <w:sz w:val="20"/>
                <w:szCs w:val="20"/>
                <w:lang w:val="fr-BE"/>
              </w:rPr>
              <w:t>o)</w:t>
            </w:r>
            <w:r w:rsidRPr="00B832E8">
              <w:rPr>
                <w:rFonts w:ascii="Arial" w:hAnsi="Arial" w:cs="Arial"/>
                <w:sz w:val="20"/>
                <w:szCs w:val="20"/>
                <w:lang w:val="fr-BE"/>
              </w:rPr>
              <w:tab/>
            </w:r>
            <w:r w:rsidR="000A6F9E" w:rsidRPr="00B832E8">
              <w:rPr>
                <w:rFonts w:ascii="Arial" w:hAnsi="Arial" w:cs="Arial"/>
                <w:sz w:val="20"/>
                <w:szCs w:val="20"/>
                <w:lang w:val="fr-BE"/>
              </w:rPr>
              <w:t>F</w:t>
            </w:r>
            <w:r w:rsidRPr="00B832E8">
              <w:rPr>
                <w:rFonts w:ascii="Arial" w:hAnsi="Arial" w:cs="Arial"/>
                <w:sz w:val="20"/>
                <w:szCs w:val="20"/>
                <w:lang w:val="fr-BE"/>
              </w:rPr>
              <w:t>orte dépendance à l’égard d’un seul projet, client ou fournisseur</w:t>
            </w:r>
            <w:r w:rsidR="000A6F9E" w:rsidRPr="00B832E8">
              <w:rPr>
                <w:rFonts w:ascii="Arial" w:hAnsi="Arial" w:cs="Arial"/>
                <w:sz w:val="20"/>
                <w:szCs w:val="20"/>
                <w:lang w:val="fr-BE"/>
              </w:rPr>
              <w:t>.</w:t>
            </w:r>
          </w:p>
        </w:tc>
        <w:tc>
          <w:tcPr>
            <w:tcW w:w="5148" w:type="dxa"/>
            <w:shd w:val="clear" w:color="auto" w:fill="auto"/>
          </w:tcPr>
          <w:p w14:paraId="72EB1D64" w14:textId="77777777" w:rsidR="00273C38" w:rsidRPr="00B832E8" w:rsidRDefault="00273C38" w:rsidP="00790E60">
            <w:pPr>
              <w:pStyle w:val="BodyTextWithAbove"/>
              <w:jc w:val="both"/>
              <w:rPr>
                <w:lang w:val="fr-BE"/>
              </w:rPr>
            </w:pPr>
          </w:p>
        </w:tc>
      </w:tr>
      <w:tr w:rsidR="00273C38" w:rsidRPr="00B832E8" w14:paraId="72EB1D68" w14:textId="77777777" w:rsidTr="00871CB3">
        <w:tc>
          <w:tcPr>
            <w:tcW w:w="5148" w:type="dxa"/>
            <w:shd w:val="clear" w:color="auto" w:fill="auto"/>
          </w:tcPr>
          <w:p w14:paraId="72EB1D66" w14:textId="77777777" w:rsidR="00273C38" w:rsidRPr="00B832E8" w:rsidRDefault="00273C38" w:rsidP="009E6F3C">
            <w:pPr>
              <w:spacing w:before="60" w:after="60"/>
              <w:ind w:left="636" w:hanging="284"/>
              <w:jc w:val="both"/>
              <w:rPr>
                <w:rFonts w:ascii="Arial" w:hAnsi="Arial" w:cs="Arial"/>
                <w:sz w:val="20"/>
                <w:szCs w:val="20"/>
                <w:lang w:val="fr-BE"/>
              </w:rPr>
            </w:pPr>
            <w:r w:rsidRPr="00B832E8">
              <w:rPr>
                <w:rFonts w:ascii="Arial" w:hAnsi="Arial" w:cs="Arial"/>
                <w:sz w:val="20"/>
                <w:szCs w:val="20"/>
                <w:lang w:val="fr-BE"/>
              </w:rPr>
              <w:t>p)</w:t>
            </w:r>
            <w:r w:rsidRPr="00B832E8">
              <w:rPr>
                <w:rFonts w:ascii="Arial" w:hAnsi="Arial" w:cs="Arial"/>
                <w:sz w:val="20"/>
                <w:szCs w:val="20"/>
                <w:lang w:val="fr-BE"/>
              </w:rPr>
              <w:tab/>
            </w:r>
            <w:r w:rsidR="000A6F9E" w:rsidRPr="00B832E8">
              <w:rPr>
                <w:rFonts w:ascii="Arial" w:hAnsi="Arial" w:cs="Arial"/>
                <w:sz w:val="20"/>
                <w:szCs w:val="20"/>
                <w:lang w:val="fr-BE"/>
              </w:rPr>
              <w:t>T</w:t>
            </w:r>
            <w:r w:rsidRPr="00B832E8">
              <w:rPr>
                <w:rFonts w:ascii="Arial" w:hAnsi="Arial" w:cs="Arial"/>
                <w:sz w:val="20"/>
                <w:szCs w:val="20"/>
                <w:lang w:val="fr-BE"/>
              </w:rPr>
              <w:t>entatives de levée de fonds nécessaire au travers de la vente d’actifs opérationnels</w:t>
            </w:r>
            <w:r w:rsidR="000A6F9E" w:rsidRPr="00B832E8">
              <w:rPr>
                <w:rFonts w:ascii="Arial" w:hAnsi="Arial" w:cs="Arial"/>
                <w:sz w:val="20"/>
                <w:szCs w:val="20"/>
                <w:lang w:val="fr-BE"/>
              </w:rPr>
              <w:t>.</w:t>
            </w:r>
          </w:p>
        </w:tc>
        <w:tc>
          <w:tcPr>
            <w:tcW w:w="5148" w:type="dxa"/>
            <w:shd w:val="clear" w:color="auto" w:fill="auto"/>
          </w:tcPr>
          <w:p w14:paraId="72EB1D67" w14:textId="77777777" w:rsidR="00273C38" w:rsidRPr="00B832E8" w:rsidRDefault="00273C38" w:rsidP="00790E60">
            <w:pPr>
              <w:pStyle w:val="BodyTextWithAbove"/>
              <w:jc w:val="both"/>
              <w:rPr>
                <w:lang w:val="fr-BE"/>
              </w:rPr>
            </w:pPr>
          </w:p>
        </w:tc>
      </w:tr>
      <w:tr w:rsidR="00273C38" w:rsidRPr="00293F71" w14:paraId="72EB1D6B" w14:textId="77777777" w:rsidTr="00871CB3">
        <w:tc>
          <w:tcPr>
            <w:tcW w:w="5148" w:type="dxa"/>
            <w:shd w:val="clear" w:color="auto" w:fill="auto"/>
          </w:tcPr>
          <w:p w14:paraId="72EB1D69" w14:textId="77777777" w:rsidR="00273C38" w:rsidRPr="00B832E8" w:rsidRDefault="00273C38" w:rsidP="009E6F3C">
            <w:pPr>
              <w:spacing w:before="60" w:after="60"/>
              <w:ind w:left="636" w:hanging="284"/>
              <w:jc w:val="both"/>
              <w:rPr>
                <w:rFonts w:ascii="Arial" w:hAnsi="Arial" w:cs="Arial"/>
                <w:sz w:val="20"/>
                <w:szCs w:val="20"/>
                <w:lang w:val="fr-BE"/>
              </w:rPr>
            </w:pPr>
            <w:r w:rsidRPr="00B832E8">
              <w:rPr>
                <w:rFonts w:ascii="Arial" w:hAnsi="Arial" w:cs="Arial"/>
                <w:sz w:val="20"/>
                <w:szCs w:val="20"/>
                <w:lang w:val="fr-BE"/>
              </w:rPr>
              <w:t>q)</w:t>
            </w:r>
            <w:r w:rsidRPr="00B832E8">
              <w:rPr>
                <w:rFonts w:ascii="Arial" w:hAnsi="Arial" w:cs="Arial"/>
                <w:sz w:val="20"/>
                <w:szCs w:val="20"/>
                <w:lang w:val="fr-BE"/>
              </w:rPr>
              <w:tab/>
            </w:r>
            <w:r w:rsidR="000A6F9E" w:rsidRPr="00B832E8">
              <w:rPr>
                <w:rFonts w:ascii="Arial" w:hAnsi="Arial" w:cs="Arial"/>
                <w:sz w:val="20"/>
                <w:szCs w:val="20"/>
                <w:lang w:val="fr-BE"/>
              </w:rPr>
              <w:t>L’</w:t>
            </w:r>
            <w:r w:rsidRPr="00B832E8">
              <w:rPr>
                <w:rFonts w:ascii="Arial" w:hAnsi="Arial" w:cs="Arial"/>
                <w:sz w:val="20"/>
                <w:szCs w:val="20"/>
                <w:lang w:val="fr-BE"/>
              </w:rPr>
              <w:t>actif net est inférieur à la moitié du capital (art.332/633 C</w:t>
            </w:r>
            <w:r w:rsidR="00EC4164" w:rsidRPr="00B832E8">
              <w:rPr>
                <w:rFonts w:ascii="Arial" w:hAnsi="Arial" w:cs="Arial"/>
                <w:sz w:val="20"/>
                <w:szCs w:val="20"/>
                <w:lang w:val="fr-BE"/>
              </w:rPr>
              <w:t>. Soc.</w:t>
            </w:r>
            <w:r w:rsidRPr="00B832E8">
              <w:rPr>
                <w:rFonts w:ascii="Arial" w:hAnsi="Arial" w:cs="Arial"/>
                <w:sz w:val="20"/>
                <w:szCs w:val="20"/>
                <w:lang w:val="fr-BE"/>
              </w:rPr>
              <w:t>) ou inférieur au capital social (art. 333/634 C</w:t>
            </w:r>
            <w:r w:rsidR="00EC4164" w:rsidRPr="00B832E8">
              <w:rPr>
                <w:rFonts w:ascii="Arial" w:hAnsi="Arial" w:cs="Arial"/>
                <w:sz w:val="20"/>
                <w:szCs w:val="20"/>
                <w:lang w:val="fr-BE"/>
              </w:rPr>
              <w:t>. S</w:t>
            </w:r>
            <w:r w:rsidRPr="00B832E8">
              <w:rPr>
                <w:rFonts w:ascii="Arial" w:hAnsi="Arial" w:cs="Arial"/>
                <w:sz w:val="20"/>
                <w:szCs w:val="20"/>
                <w:lang w:val="fr-BE"/>
              </w:rPr>
              <w:t>oc</w:t>
            </w:r>
            <w:r w:rsidR="00EC4164" w:rsidRPr="00B832E8">
              <w:rPr>
                <w:rFonts w:ascii="Arial" w:hAnsi="Arial" w:cs="Arial"/>
                <w:sz w:val="20"/>
                <w:szCs w:val="20"/>
                <w:lang w:val="fr-BE"/>
              </w:rPr>
              <w:t>.</w:t>
            </w:r>
            <w:r w:rsidRPr="00B832E8">
              <w:rPr>
                <w:rFonts w:ascii="Arial" w:hAnsi="Arial" w:cs="Arial"/>
                <w:sz w:val="20"/>
                <w:szCs w:val="20"/>
                <w:lang w:val="fr-BE"/>
              </w:rPr>
              <w:t>).</w:t>
            </w:r>
          </w:p>
        </w:tc>
        <w:tc>
          <w:tcPr>
            <w:tcW w:w="5148" w:type="dxa"/>
            <w:shd w:val="clear" w:color="auto" w:fill="auto"/>
          </w:tcPr>
          <w:p w14:paraId="72EB1D6A" w14:textId="77777777" w:rsidR="00273C38" w:rsidRPr="00B832E8" w:rsidRDefault="00273C38" w:rsidP="00790E60">
            <w:pPr>
              <w:pStyle w:val="BodyTextWithAbove"/>
              <w:jc w:val="both"/>
              <w:rPr>
                <w:lang w:val="fr-BE"/>
              </w:rPr>
            </w:pPr>
          </w:p>
        </w:tc>
      </w:tr>
      <w:tr w:rsidR="00273C38" w:rsidRPr="00B832E8" w14:paraId="72EB1D6E" w14:textId="77777777" w:rsidTr="00871CB3">
        <w:tc>
          <w:tcPr>
            <w:tcW w:w="5148" w:type="dxa"/>
            <w:shd w:val="clear" w:color="auto" w:fill="auto"/>
          </w:tcPr>
          <w:p w14:paraId="72EB1D6C" w14:textId="77777777" w:rsidR="00273C38" w:rsidRPr="00B832E8" w:rsidRDefault="00273C38" w:rsidP="00BE2257">
            <w:pPr>
              <w:numPr>
                <w:ilvl w:val="0"/>
                <w:numId w:val="25"/>
              </w:numPr>
              <w:spacing w:before="60" w:after="60"/>
              <w:ind w:left="601" w:hanging="283"/>
              <w:jc w:val="both"/>
              <w:rPr>
                <w:rFonts w:ascii="Arial" w:hAnsi="Arial" w:cs="Arial"/>
                <w:sz w:val="20"/>
                <w:szCs w:val="20"/>
                <w:lang w:val="fr-BE"/>
              </w:rPr>
            </w:pPr>
            <w:r w:rsidRPr="00B832E8">
              <w:rPr>
                <w:rFonts w:ascii="Arial" w:hAnsi="Arial" w:cs="Arial"/>
                <w:sz w:val="20"/>
                <w:szCs w:val="20"/>
                <w:lang w:val="fr-BE"/>
              </w:rPr>
              <w:t xml:space="preserve">Autres signes de crise imminente. Décrire :  </w:t>
            </w:r>
          </w:p>
        </w:tc>
        <w:tc>
          <w:tcPr>
            <w:tcW w:w="5148" w:type="dxa"/>
            <w:shd w:val="clear" w:color="auto" w:fill="auto"/>
          </w:tcPr>
          <w:p w14:paraId="72EB1D6D" w14:textId="77777777" w:rsidR="00273C38" w:rsidRPr="00B832E8" w:rsidRDefault="00273C38" w:rsidP="00790E60">
            <w:pPr>
              <w:pStyle w:val="BodyTextWithAbove"/>
              <w:jc w:val="both"/>
              <w:rPr>
                <w:lang w:val="fr-BE"/>
              </w:rPr>
            </w:pPr>
          </w:p>
        </w:tc>
      </w:tr>
      <w:tr w:rsidR="00161553" w:rsidRPr="00B832E8" w14:paraId="72EB1D71" w14:textId="77777777" w:rsidTr="00871CB3">
        <w:tc>
          <w:tcPr>
            <w:tcW w:w="5148" w:type="dxa"/>
            <w:shd w:val="clear" w:color="auto" w:fill="auto"/>
          </w:tcPr>
          <w:p w14:paraId="72EB1D6F" w14:textId="77777777" w:rsidR="00161553" w:rsidRPr="00B832E8" w:rsidRDefault="00161553" w:rsidP="009E6F3C">
            <w:pPr>
              <w:pStyle w:val="HeadLevel2NoBoldNums"/>
              <w:numPr>
                <w:ilvl w:val="0"/>
                <w:numId w:val="9"/>
              </w:numPr>
              <w:rPr>
                <w:lang w:val="fr-BE"/>
              </w:rPr>
            </w:pPr>
            <w:r w:rsidRPr="00B832E8">
              <w:rPr>
                <w:lang w:val="fr-BE"/>
              </w:rPr>
              <w:t>Demander à la direction de commenter les événements et circonstances ci-dessus ainsi que leur impact sur les opérations futures. Documenter la réponse.</w:t>
            </w:r>
          </w:p>
        </w:tc>
        <w:tc>
          <w:tcPr>
            <w:tcW w:w="5148" w:type="dxa"/>
            <w:shd w:val="clear" w:color="auto" w:fill="auto"/>
          </w:tcPr>
          <w:p w14:paraId="72EB1D70" w14:textId="77777777" w:rsidR="00161553" w:rsidRPr="00B832E8" w:rsidRDefault="00161553" w:rsidP="00790E60">
            <w:pPr>
              <w:pStyle w:val="BodyTextWithAbove"/>
              <w:jc w:val="both"/>
              <w:rPr>
                <w:lang w:val="fr-BE"/>
              </w:rPr>
            </w:pPr>
          </w:p>
        </w:tc>
      </w:tr>
      <w:tr w:rsidR="00161553" w:rsidRPr="00B832E8" w14:paraId="72EB1D76" w14:textId="77777777" w:rsidTr="00871CB3">
        <w:tc>
          <w:tcPr>
            <w:tcW w:w="5148" w:type="dxa"/>
            <w:shd w:val="clear" w:color="auto" w:fill="auto"/>
          </w:tcPr>
          <w:p w14:paraId="72EB1D72" w14:textId="77777777" w:rsidR="00161553" w:rsidRPr="00B832E8" w:rsidRDefault="00161553" w:rsidP="009E6F3C">
            <w:pPr>
              <w:pStyle w:val="HeadLevel2NoBoldNums"/>
              <w:numPr>
                <w:ilvl w:val="0"/>
                <w:numId w:val="10"/>
              </w:numPr>
              <w:rPr>
                <w:lang w:val="fr-BE"/>
              </w:rPr>
            </w:pPr>
            <w:r w:rsidRPr="00B832E8">
              <w:rPr>
                <w:lang w:val="fr-BE"/>
              </w:rPr>
              <w:t>Evaluer la réponse de la direction et déterminer si son intervention (plan d’action) s’avère nécessaire pour apprécier l’importance des problèmes identifiés.</w:t>
            </w:r>
            <w:r w:rsidR="00F663A1" w:rsidRPr="00B832E8">
              <w:rPr>
                <w:lang w:val="fr-BE"/>
              </w:rPr>
              <w:br/>
            </w:r>
          </w:p>
          <w:p w14:paraId="72EB1D73" w14:textId="77777777" w:rsidR="00161553" w:rsidRPr="00B832E8" w:rsidRDefault="00161553" w:rsidP="009E6F3C">
            <w:pPr>
              <w:pStyle w:val="HeadLevel2NoBoldNums"/>
              <w:rPr>
                <w:lang w:val="fr-BE"/>
              </w:rPr>
            </w:pPr>
            <w:r w:rsidRPr="00B832E8">
              <w:rPr>
                <w:lang w:val="fr-BE"/>
              </w:rPr>
              <w:t>Dans le cas où l’intervention de la direction est considérée nécessaire, obtenir une copie du plan d’action ou demander que la direction prépare un tel plan (en temps opportun) pour qu’il soit revu pendant l’audit. Ce plan devrait (au minimum) couvrir une période de 1 mois.</w:t>
            </w:r>
          </w:p>
          <w:p w14:paraId="72EB1D74" w14:textId="77777777" w:rsidR="009B6149" w:rsidRPr="00B832E8" w:rsidRDefault="009B6149" w:rsidP="009E6F3C">
            <w:pPr>
              <w:pStyle w:val="HeadLevel2NoBoldNums"/>
              <w:rPr>
                <w:lang w:val="fr-BE"/>
              </w:rPr>
            </w:pPr>
          </w:p>
        </w:tc>
        <w:tc>
          <w:tcPr>
            <w:tcW w:w="5148" w:type="dxa"/>
            <w:shd w:val="clear" w:color="auto" w:fill="auto"/>
          </w:tcPr>
          <w:p w14:paraId="72EB1D75" w14:textId="77777777" w:rsidR="00161553" w:rsidRPr="00B832E8" w:rsidRDefault="00161553" w:rsidP="00790E60">
            <w:pPr>
              <w:pStyle w:val="BodyTextWithAbove"/>
              <w:jc w:val="both"/>
              <w:rPr>
                <w:lang w:val="fr-BE"/>
              </w:rPr>
            </w:pPr>
          </w:p>
        </w:tc>
      </w:tr>
    </w:tbl>
    <w:p w14:paraId="72EB1D77" w14:textId="77777777" w:rsidR="009B6149" w:rsidRPr="00B832E8" w:rsidRDefault="009B6149">
      <w:pPr>
        <w:rPr>
          <w:rFonts w:ascii="Arial" w:hAnsi="Arial" w:cs="Arial"/>
          <w:sz w:val="20"/>
          <w:szCs w:val="20"/>
        </w:rPr>
      </w:pPr>
      <w:r w:rsidRPr="00B832E8">
        <w:rPr>
          <w:rFonts w:ascii="Arial" w:hAnsi="Arial" w:cs="Arial"/>
          <w:sz w:val="20"/>
          <w:szCs w:val="20"/>
        </w:rPr>
        <w:br w:type="page"/>
      </w:r>
    </w:p>
    <w:tbl>
      <w:tblPr>
        <w:tblW w:w="10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9B6149" w:rsidRPr="00B832E8" w14:paraId="72EB1D7A" w14:textId="77777777" w:rsidTr="009B6149">
        <w:trPr>
          <w:tblHeader/>
        </w:trPr>
        <w:tc>
          <w:tcPr>
            <w:tcW w:w="5148" w:type="dxa"/>
            <w:shd w:val="clear" w:color="auto" w:fill="A6A6A6"/>
          </w:tcPr>
          <w:p w14:paraId="72EB1D78" w14:textId="77777777" w:rsidR="009B6149" w:rsidRPr="00B832E8" w:rsidRDefault="009B6149" w:rsidP="009B6149">
            <w:pPr>
              <w:pStyle w:val="BodyTextWithAbove"/>
              <w:rPr>
                <w:lang w:val="fr-BE"/>
              </w:rPr>
            </w:pPr>
          </w:p>
        </w:tc>
        <w:tc>
          <w:tcPr>
            <w:tcW w:w="5148" w:type="dxa"/>
            <w:shd w:val="clear" w:color="auto" w:fill="A6A6A6"/>
          </w:tcPr>
          <w:p w14:paraId="72EB1D79" w14:textId="77777777" w:rsidR="009B6149" w:rsidRPr="00B832E8" w:rsidRDefault="009B6149" w:rsidP="009B6149">
            <w:pPr>
              <w:pStyle w:val="BodyTextWithAbove"/>
              <w:rPr>
                <w:lang w:val="fr-BE"/>
              </w:rPr>
            </w:pPr>
            <w:r w:rsidRPr="00B832E8">
              <w:rPr>
                <w:lang w:val="fr-BE"/>
              </w:rPr>
              <w:t>Commentaires</w:t>
            </w:r>
          </w:p>
        </w:tc>
      </w:tr>
      <w:tr w:rsidR="009B6149" w:rsidRPr="00B832E8" w14:paraId="72EB1D7C" w14:textId="77777777" w:rsidTr="009B6149">
        <w:tc>
          <w:tcPr>
            <w:tcW w:w="10296" w:type="dxa"/>
            <w:gridSpan w:val="2"/>
            <w:shd w:val="clear" w:color="auto" w:fill="D9D9D9"/>
          </w:tcPr>
          <w:p w14:paraId="72EB1D7B" w14:textId="77777777" w:rsidR="009B6149" w:rsidRPr="00B832E8" w:rsidRDefault="009B6149" w:rsidP="009B6149">
            <w:pPr>
              <w:pStyle w:val="BodyTextWithAbove"/>
              <w:jc w:val="both"/>
              <w:rPr>
                <w:b/>
                <w:lang w:val="fr-BE"/>
              </w:rPr>
            </w:pPr>
            <w:r w:rsidRPr="00B832E8">
              <w:rPr>
                <w:b/>
                <w:lang w:val="fr-BE"/>
              </w:rPr>
              <w:t>PARTIE 2 : EVALUATION DU PLAN D’ACTION DE LA DIRECTION</w:t>
            </w:r>
          </w:p>
        </w:tc>
      </w:tr>
      <w:tr w:rsidR="00161553" w:rsidRPr="00B832E8" w14:paraId="72EB1D7F" w14:textId="77777777" w:rsidTr="00871CB3">
        <w:tc>
          <w:tcPr>
            <w:tcW w:w="5148" w:type="dxa"/>
            <w:shd w:val="clear" w:color="auto" w:fill="auto"/>
          </w:tcPr>
          <w:p w14:paraId="72EB1D7D" w14:textId="77777777" w:rsidR="006531C8" w:rsidRPr="00B832E8" w:rsidRDefault="00161553" w:rsidP="009E6F3C">
            <w:pPr>
              <w:pStyle w:val="HeadLevel2NoBoldNums"/>
              <w:numPr>
                <w:ilvl w:val="0"/>
                <w:numId w:val="11"/>
              </w:numPr>
              <w:rPr>
                <w:lang w:val="fr-BE"/>
              </w:rPr>
            </w:pPr>
            <w:r w:rsidRPr="00B832E8">
              <w:rPr>
                <w:lang w:val="fr-BE"/>
              </w:rPr>
              <w:t xml:space="preserve">Si </w:t>
            </w:r>
            <w:r w:rsidR="006531C8" w:rsidRPr="00B832E8">
              <w:rPr>
                <w:lang w:val="fr-BE"/>
              </w:rPr>
              <w:t>la direction prévoit de réaliser des actifs :</w:t>
            </w:r>
          </w:p>
        </w:tc>
        <w:tc>
          <w:tcPr>
            <w:tcW w:w="5148" w:type="dxa"/>
            <w:shd w:val="clear" w:color="auto" w:fill="auto"/>
          </w:tcPr>
          <w:p w14:paraId="72EB1D7E" w14:textId="77777777" w:rsidR="00161553" w:rsidRPr="00B832E8" w:rsidRDefault="00161553" w:rsidP="00790E60">
            <w:pPr>
              <w:pStyle w:val="BodyTextWithAbove"/>
              <w:jc w:val="both"/>
              <w:rPr>
                <w:lang w:val="fr-BE"/>
              </w:rPr>
            </w:pPr>
          </w:p>
        </w:tc>
      </w:tr>
      <w:tr w:rsidR="00581F69" w:rsidRPr="00293F71" w14:paraId="72EB1D82" w14:textId="77777777" w:rsidTr="00871CB3">
        <w:tc>
          <w:tcPr>
            <w:tcW w:w="5148" w:type="dxa"/>
            <w:shd w:val="clear" w:color="auto" w:fill="auto"/>
          </w:tcPr>
          <w:p w14:paraId="72EB1D80" w14:textId="77777777" w:rsidR="009B6149" w:rsidRPr="00B832E8" w:rsidRDefault="00581F69" w:rsidP="009B6149">
            <w:pPr>
              <w:pStyle w:val="HeadLevel2NoBoldNums"/>
              <w:numPr>
                <w:ilvl w:val="0"/>
                <w:numId w:val="26"/>
              </w:numPr>
              <w:rPr>
                <w:lang w:val="fr-BE"/>
              </w:rPr>
            </w:pPr>
            <w:r w:rsidRPr="00B832E8">
              <w:rPr>
                <w:lang w:val="fr-BE"/>
              </w:rPr>
              <w:t xml:space="preserve">Evaluer la capacité des actifs considérés à être vendus sur </w:t>
            </w:r>
            <w:r w:rsidR="00782630" w:rsidRPr="00B832E8">
              <w:rPr>
                <w:lang w:val="fr-BE"/>
              </w:rPr>
              <w:t>le</w:t>
            </w:r>
            <w:r w:rsidRPr="00B832E8">
              <w:rPr>
                <w:lang w:val="fr-BE"/>
              </w:rPr>
              <w:t xml:space="preserve"> marché.</w:t>
            </w:r>
          </w:p>
        </w:tc>
        <w:tc>
          <w:tcPr>
            <w:tcW w:w="5148" w:type="dxa"/>
            <w:shd w:val="clear" w:color="auto" w:fill="auto"/>
          </w:tcPr>
          <w:p w14:paraId="72EB1D81" w14:textId="77777777" w:rsidR="00581F69" w:rsidRPr="00B832E8" w:rsidRDefault="00581F69" w:rsidP="00790E60">
            <w:pPr>
              <w:pStyle w:val="BodyTextWithAbove"/>
              <w:jc w:val="both"/>
              <w:rPr>
                <w:lang w:val="fr-BE"/>
              </w:rPr>
            </w:pPr>
          </w:p>
        </w:tc>
      </w:tr>
      <w:tr w:rsidR="00581F69" w:rsidRPr="00293F71" w14:paraId="72EB1D85" w14:textId="77777777" w:rsidTr="00871CB3">
        <w:tc>
          <w:tcPr>
            <w:tcW w:w="5148" w:type="dxa"/>
            <w:shd w:val="clear" w:color="auto" w:fill="auto"/>
          </w:tcPr>
          <w:p w14:paraId="72EB1D83" w14:textId="77777777" w:rsidR="00581F69" w:rsidRPr="00B832E8" w:rsidRDefault="00581F69" w:rsidP="009E6F3C">
            <w:pPr>
              <w:pStyle w:val="HeadLevel2NoBoldNums"/>
              <w:numPr>
                <w:ilvl w:val="0"/>
                <w:numId w:val="26"/>
              </w:numPr>
              <w:rPr>
                <w:lang w:val="fr-BE"/>
              </w:rPr>
            </w:pPr>
            <w:r w:rsidRPr="00B832E8">
              <w:rPr>
                <w:lang w:val="fr-BE"/>
              </w:rPr>
              <w:t>Passer en revue les accords d’emprunt, facilités de crédit et autres engagements ou liens pour s’assurer qu’il n’y pas de restrictions sur la capacité de l’entité à réaliser les actifs.</w:t>
            </w:r>
          </w:p>
        </w:tc>
        <w:tc>
          <w:tcPr>
            <w:tcW w:w="5148" w:type="dxa"/>
            <w:shd w:val="clear" w:color="auto" w:fill="auto"/>
          </w:tcPr>
          <w:p w14:paraId="72EB1D84" w14:textId="77777777" w:rsidR="00581F69" w:rsidRPr="00B832E8" w:rsidRDefault="00581F69" w:rsidP="00790E60">
            <w:pPr>
              <w:pStyle w:val="BodyTextWithAbove"/>
              <w:jc w:val="both"/>
              <w:rPr>
                <w:lang w:val="fr-BE"/>
              </w:rPr>
            </w:pPr>
          </w:p>
        </w:tc>
      </w:tr>
      <w:tr w:rsidR="00581F69" w:rsidRPr="00293F71" w14:paraId="72EB1D88" w14:textId="77777777" w:rsidTr="00871CB3">
        <w:tc>
          <w:tcPr>
            <w:tcW w:w="5148" w:type="dxa"/>
            <w:shd w:val="clear" w:color="auto" w:fill="auto"/>
          </w:tcPr>
          <w:p w14:paraId="72EB1D86" w14:textId="77777777" w:rsidR="00602588" w:rsidRPr="00B832E8" w:rsidRDefault="00581F69" w:rsidP="009E6F3C">
            <w:pPr>
              <w:pStyle w:val="HeadLevel2NoBoldNums"/>
              <w:numPr>
                <w:ilvl w:val="0"/>
                <w:numId w:val="26"/>
              </w:numPr>
              <w:rPr>
                <w:lang w:val="fr-BE"/>
              </w:rPr>
            </w:pPr>
            <w:r w:rsidRPr="00B832E8">
              <w:rPr>
                <w:lang w:val="fr-BE"/>
              </w:rPr>
              <w:t>Evaluer l’impact de la cession prévue sur les activités restantes de l’entité. Envisager de demander à la direction de préparer une situation de trésorerie pour analyser l’impact des opération</w:t>
            </w:r>
            <w:r w:rsidR="007C6896" w:rsidRPr="00B832E8">
              <w:rPr>
                <w:lang w:val="fr-BE"/>
              </w:rPr>
              <w:t xml:space="preserve">s </w:t>
            </w:r>
            <w:r w:rsidRPr="00B832E8">
              <w:rPr>
                <w:lang w:val="fr-BE"/>
              </w:rPr>
              <w:t xml:space="preserve"> projetées sur les activités et l</w:t>
            </w:r>
            <w:r w:rsidR="007C6896" w:rsidRPr="00B832E8">
              <w:rPr>
                <w:lang w:val="fr-BE"/>
              </w:rPr>
              <w:t>e</w:t>
            </w:r>
            <w:r w:rsidRPr="00B832E8">
              <w:rPr>
                <w:lang w:val="fr-BE"/>
              </w:rPr>
              <w:t xml:space="preserve"> cash-flow.</w:t>
            </w:r>
          </w:p>
        </w:tc>
        <w:tc>
          <w:tcPr>
            <w:tcW w:w="5148" w:type="dxa"/>
            <w:shd w:val="clear" w:color="auto" w:fill="auto"/>
          </w:tcPr>
          <w:p w14:paraId="72EB1D87" w14:textId="77777777" w:rsidR="00581F69" w:rsidRPr="00B832E8" w:rsidRDefault="00581F69" w:rsidP="00790E60">
            <w:pPr>
              <w:pStyle w:val="BodyTextWithAbove"/>
              <w:jc w:val="both"/>
              <w:rPr>
                <w:lang w:val="fr-BE"/>
              </w:rPr>
            </w:pPr>
          </w:p>
        </w:tc>
      </w:tr>
      <w:tr w:rsidR="00161553" w:rsidRPr="00B832E8" w14:paraId="72EB1D8B" w14:textId="77777777" w:rsidTr="00871CB3">
        <w:tc>
          <w:tcPr>
            <w:tcW w:w="5148" w:type="dxa"/>
            <w:shd w:val="clear" w:color="auto" w:fill="auto"/>
          </w:tcPr>
          <w:p w14:paraId="72EB1D89" w14:textId="77777777" w:rsidR="00395529" w:rsidRPr="00B832E8" w:rsidRDefault="006531C8" w:rsidP="009E6F3C">
            <w:pPr>
              <w:pStyle w:val="HeadLevel2NoBoldNums"/>
              <w:numPr>
                <w:ilvl w:val="0"/>
                <w:numId w:val="13"/>
              </w:numPr>
              <w:rPr>
                <w:lang w:val="fr-BE"/>
              </w:rPr>
            </w:pPr>
            <w:r w:rsidRPr="00B832E8">
              <w:rPr>
                <w:lang w:val="fr-BE"/>
              </w:rPr>
              <w:t>Si la dir</w:t>
            </w:r>
            <w:r w:rsidR="00F722C6" w:rsidRPr="00B832E8">
              <w:rPr>
                <w:lang w:val="fr-BE"/>
              </w:rPr>
              <w:t>ection prévoit d’emprunter de l’</w:t>
            </w:r>
            <w:r w:rsidRPr="00B832E8">
              <w:rPr>
                <w:lang w:val="fr-BE"/>
              </w:rPr>
              <w:t>argent ou de refinancer sa dette :</w:t>
            </w:r>
          </w:p>
        </w:tc>
        <w:tc>
          <w:tcPr>
            <w:tcW w:w="5148" w:type="dxa"/>
            <w:shd w:val="clear" w:color="auto" w:fill="auto"/>
          </w:tcPr>
          <w:p w14:paraId="72EB1D8A" w14:textId="77777777" w:rsidR="00161553" w:rsidRPr="00B832E8" w:rsidRDefault="00161553" w:rsidP="00790E60">
            <w:pPr>
              <w:pStyle w:val="BodyTextWithAbove"/>
              <w:jc w:val="both"/>
              <w:rPr>
                <w:lang w:val="fr-BE"/>
              </w:rPr>
            </w:pPr>
          </w:p>
        </w:tc>
      </w:tr>
      <w:tr w:rsidR="009C5AD9" w:rsidRPr="00293F71" w14:paraId="72EB1D8E" w14:textId="77777777" w:rsidTr="00871CB3">
        <w:tc>
          <w:tcPr>
            <w:tcW w:w="5148" w:type="dxa"/>
            <w:shd w:val="clear" w:color="auto" w:fill="auto"/>
          </w:tcPr>
          <w:p w14:paraId="72EB1D8C" w14:textId="77777777" w:rsidR="009C5AD9" w:rsidRPr="00B832E8" w:rsidRDefault="009C5AD9" w:rsidP="009B6149">
            <w:pPr>
              <w:pStyle w:val="HeadLevel2NoBoldNums"/>
              <w:numPr>
                <w:ilvl w:val="0"/>
                <w:numId w:val="27"/>
              </w:numPr>
              <w:rPr>
                <w:lang w:val="fr-BE"/>
              </w:rPr>
            </w:pPr>
            <w:r w:rsidRPr="00B832E8">
              <w:rPr>
                <w:lang w:val="fr-BE"/>
              </w:rPr>
              <w:t>Evaluer la disponibilité de financement et la capacité de l’entité à emprunter. Passer en revue les emprunts en cours, les crédits et autres dispositions ou clauses qui peuvent réduire la capacité de l’entité à emprunter des fonds supplémentaires ou à restructurer sa dette.</w:t>
            </w:r>
          </w:p>
        </w:tc>
        <w:tc>
          <w:tcPr>
            <w:tcW w:w="5148" w:type="dxa"/>
            <w:shd w:val="clear" w:color="auto" w:fill="auto"/>
          </w:tcPr>
          <w:p w14:paraId="72EB1D8D" w14:textId="77777777" w:rsidR="009C5AD9" w:rsidRPr="00B832E8" w:rsidRDefault="009C5AD9" w:rsidP="00790E60">
            <w:pPr>
              <w:pStyle w:val="BodyTextWithAbove"/>
              <w:jc w:val="both"/>
              <w:rPr>
                <w:lang w:val="fr-BE"/>
              </w:rPr>
            </w:pPr>
          </w:p>
        </w:tc>
      </w:tr>
      <w:tr w:rsidR="009C5AD9" w:rsidRPr="00293F71" w14:paraId="72EB1D91" w14:textId="77777777" w:rsidTr="00871CB3">
        <w:tc>
          <w:tcPr>
            <w:tcW w:w="5148" w:type="dxa"/>
            <w:shd w:val="clear" w:color="auto" w:fill="auto"/>
          </w:tcPr>
          <w:p w14:paraId="72EB1D8F" w14:textId="77777777" w:rsidR="009C5AD9" w:rsidRPr="00B832E8" w:rsidRDefault="009C5AD9" w:rsidP="009B6149">
            <w:pPr>
              <w:pStyle w:val="HeadLevel2NoBoldNums"/>
              <w:numPr>
                <w:ilvl w:val="0"/>
                <w:numId w:val="27"/>
              </w:numPr>
              <w:rPr>
                <w:lang w:val="fr-BE"/>
              </w:rPr>
            </w:pPr>
            <w:r w:rsidRPr="00B832E8">
              <w:rPr>
                <w:lang w:val="fr-BE"/>
              </w:rPr>
              <w:t>Evaluer si l’entité a suffisamment de garanties pour obtenir de nouveaux financements. Envisager les comptes clients, les investissements court-terme, les stocks et les immobilisations corporelles.</w:t>
            </w:r>
          </w:p>
        </w:tc>
        <w:tc>
          <w:tcPr>
            <w:tcW w:w="5148" w:type="dxa"/>
            <w:shd w:val="clear" w:color="auto" w:fill="auto"/>
          </w:tcPr>
          <w:p w14:paraId="72EB1D90" w14:textId="77777777" w:rsidR="009C5AD9" w:rsidRPr="00B832E8" w:rsidRDefault="009C5AD9" w:rsidP="00790E60">
            <w:pPr>
              <w:pStyle w:val="BodyTextWithAbove"/>
              <w:jc w:val="both"/>
              <w:rPr>
                <w:lang w:val="fr-BE"/>
              </w:rPr>
            </w:pPr>
          </w:p>
        </w:tc>
      </w:tr>
      <w:tr w:rsidR="009C5AD9" w:rsidRPr="00293F71" w14:paraId="72EB1D94" w14:textId="77777777" w:rsidTr="00871CB3">
        <w:tc>
          <w:tcPr>
            <w:tcW w:w="5148" w:type="dxa"/>
            <w:shd w:val="clear" w:color="auto" w:fill="auto"/>
          </w:tcPr>
          <w:p w14:paraId="72EB1D92" w14:textId="77777777" w:rsidR="00F722C6" w:rsidRPr="00B832E8" w:rsidRDefault="009C5AD9" w:rsidP="008A531D">
            <w:pPr>
              <w:pStyle w:val="HeadLevel2NoBoldNums"/>
              <w:numPr>
                <w:ilvl w:val="0"/>
                <w:numId w:val="27"/>
              </w:numPr>
              <w:rPr>
                <w:lang w:val="fr-BE"/>
              </w:rPr>
            </w:pPr>
            <w:r w:rsidRPr="00B832E8">
              <w:rPr>
                <w:lang w:val="fr-BE"/>
              </w:rPr>
              <w:t>Evaluer l’impact de nouveaux financements sur les activités et les cash-flows de l’entité (p</w:t>
            </w:r>
            <w:r w:rsidR="008A531D">
              <w:rPr>
                <w:lang w:val="fr-BE"/>
              </w:rPr>
              <w:t>.</w:t>
            </w:r>
            <w:r w:rsidRPr="00B832E8">
              <w:rPr>
                <w:lang w:val="fr-BE"/>
              </w:rPr>
              <w:t xml:space="preserve"> ex</w:t>
            </w:r>
            <w:r w:rsidR="008A531D">
              <w:rPr>
                <w:lang w:val="fr-BE"/>
              </w:rPr>
              <w:t>.</w:t>
            </w:r>
            <w:r w:rsidRPr="00B832E8">
              <w:rPr>
                <w:lang w:val="fr-BE"/>
              </w:rPr>
              <w:t xml:space="preserve"> les intérêts à payer et le remboursement de la dette).</w:t>
            </w:r>
          </w:p>
        </w:tc>
        <w:tc>
          <w:tcPr>
            <w:tcW w:w="5148" w:type="dxa"/>
            <w:shd w:val="clear" w:color="auto" w:fill="auto"/>
          </w:tcPr>
          <w:p w14:paraId="72EB1D93" w14:textId="77777777" w:rsidR="009C5AD9" w:rsidRPr="00B832E8" w:rsidRDefault="009C5AD9" w:rsidP="00790E60">
            <w:pPr>
              <w:pStyle w:val="BodyTextWithAbove"/>
              <w:jc w:val="both"/>
              <w:rPr>
                <w:lang w:val="fr-BE"/>
              </w:rPr>
            </w:pPr>
          </w:p>
        </w:tc>
      </w:tr>
      <w:tr w:rsidR="00161553" w:rsidRPr="00B832E8" w14:paraId="72EB1D97" w14:textId="77777777" w:rsidTr="00871CB3">
        <w:tc>
          <w:tcPr>
            <w:tcW w:w="5148" w:type="dxa"/>
            <w:shd w:val="clear" w:color="auto" w:fill="auto"/>
          </w:tcPr>
          <w:p w14:paraId="72EB1D95" w14:textId="77777777" w:rsidR="00602588" w:rsidRPr="00B832E8" w:rsidRDefault="00530390" w:rsidP="009E6F3C">
            <w:pPr>
              <w:pStyle w:val="HeadLevel2NoBoldNums"/>
              <w:numPr>
                <w:ilvl w:val="0"/>
                <w:numId w:val="15"/>
              </w:numPr>
              <w:rPr>
                <w:lang w:val="fr-BE"/>
              </w:rPr>
            </w:pPr>
            <w:r w:rsidRPr="00B832E8">
              <w:rPr>
                <w:lang w:val="fr-BE"/>
              </w:rPr>
              <w:t>Si la direction prévoit de réduire ou de retarder les dépenses :</w:t>
            </w:r>
          </w:p>
        </w:tc>
        <w:tc>
          <w:tcPr>
            <w:tcW w:w="5148" w:type="dxa"/>
            <w:shd w:val="clear" w:color="auto" w:fill="auto"/>
          </w:tcPr>
          <w:p w14:paraId="72EB1D96" w14:textId="77777777" w:rsidR="00161553" w:rsidRPr="00B832E8" w:rsidRDefault="00161553" w:rsidP="00790E60">
            <w:pPr>
              <w:pStyle w:val="BodyTextWithAbove"/>
              <w:jc w:val="both"/>
              <w:rPr>
                <w:lang w:val="fr-BE"/>
              </w:rPr>
            </w:pPr>
          </w:p>
        </w:tc>
      </w:tr>
      <w:tr w:rsidR="009C5AD9" w:rsidRPr="00B832E8" w14:paraId="72EB1D9A" w14:textId="77777777" w:rsidTr="00871CB3">
        <w:tc>
          <w:tcPr>
            <w:tcW w:w="5148" w:type="dxa"/>
            <w:shd w:val="clear" w:color="auto" w:fill="auto"/>
          </w:tcPr>
          <w:p w14:paraId="72EB1D98" w14:textId="77777777" w:rsidR="009C5AD9" w:rsidRPr="00B832E8" w:rsidRDefault="007B01C6" w:rsidP="00B832E8">
            <w:pPr>
              <w:pStyle w:val="HeadLevel2NoBoldNums"/>
              <w:numPr>
                <w:ilvl w:val="0"/>
                <w:numId w:val="28"/>
              </w:numPr>
              <w:rPr>
                <w:lang w:val="fr-BE"/>
              </w:rPr>
            </w:pPr>
            <w:r w:rsidRPr="00B832E8">
              <w:rPr>
                <w:lang w:val="fr-BE"/>
              </w:rPr>
              <w:t>Evaluer la faisabilité et tout coût potentiel qui serait lié (telle que indemnités de licenciement, etc.) à la décision de la direction de réduire ou de retarder les dépenses.</w:t>
            </w:r>
          </w:p>
        </w:tc>
        <w:tc>
          <w:tcPr>
            <w:tcW w:w="5148" w:type="dxa"/>
            <w:shd w:val="clear" w:color="auto" w:fill="auto"/>
          </w:tcPr>
          <w:p w14:paraId="72EB1D99" w14:textId="77777777" w:rsidR="009C5AD9" w:rsidRPr="00B832E8" w:rsidRDefault="009C5AD9" w:rsidP="00790E60">
            <w:pPr>
              <w:pStyle w:val="BodyTextWithAbove"/>
              <w:jc w:val="both"/>
              <w:rPr>
                <w:lang w:val="fr-BE"/>
              </w:rPr>
            </w:pPr>
          </w:p>
        </w:tc>
      </w:tr>
      <w:tr w:rsidR="009C5AD9" w:rsidRPr="00293F71" w14:paraId="72EB1D9D" w14:textId="77777777" w:rsidTr="00871CB3">
        <w:tc>
          <w:tcPr>
            <w:tcW w:w="5148" w:type="dxa"/>
            <w:shd w:val="clear" w:color="auto" w:fill="auto"/>
          </w:tcPr>
          <w:p w14:paraId="72EB1D9B" w14:textId="77777777" w:rsidR="00602588" w:rsidRPr="00B832E8" w:rsidRDefault="007B01C6" w:rsidP="00B832E8">
            <w:pPr>
              <w:pStyle w:val="HeadLevel2NoBoldNums"/>
              <w:numPr>
                <w:ilvl w:val="0"/>
                <w:numId w:val="28"/>
              </w:numPr>
              <w:rPr>
                <w:lang w:val="fr-BE"/>
              </w:rPr>
            </w:pPr>
            <w:r w:rsidRPr="00B832E8">
              <w:rPr>
                <w:lang w:val="fr-BE"/>
              </w:rPr>
              <w:t>Evaluer l’impact que la réduction ou le retardement des dépenses aura sur les activités en cours et les cash-flows de l’entité.</w:t>
            </w:r>
          </w:p>
        </w:tc>
        <w:tc>
          <w:tcPr>
            <w:tcW w:w="5148" w:type="dxa"/>
            <w:shd w:val="clear" w:color="auto" w:fill="auto"/>
          </w:tcPr>
          <w:p w14:paraId="72EB1D9C" w14:textId="77777777" w:rsidR="009C5AD9" w:rsidRPr="00B832E8" w:rsidRDefault="009C5AD9" w:rsidP="00790E60">
            <w:pPr>
              <w:pStyle w:val="BodyTextWithAbove"/>
              <w:jc w:val="both"/>
              <w:rPr>
                <w:lang w:val="fr-BE"/>
              </w:rPr>
            </w:pPr>
          </w:p>
        </w:tc>
      </w:tr>
    </w:tbl>
    <w:p w14:paraId="72EB1D9E" w14:textId="77777777" w:rsidR="00B832E8" w:rsidRPr="00842030" w:rsidRDefault="00B832E8">
      <w:pPr>
        <w:rPr>
          <w:lang w:val="fr-BE"/>
        </w:rPr>
      </w:pPr>
      <w:r w:rsidRPr="00842030">
        <w:rPr>
          <w:lang w:val="fr-BE"/>
        </w:rPr>
        <w:br w:type="page"/>
      </w:r>
    </w:p>
    <w:tbl>
      <w:tblPr>
        <w:tblW w:w="10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B832E8" w:rsidRPr="00B832E8" w14:paraId="72EB1DA1" w14:textId="77777777" w:rsidTr="00EA7593">
        <w:trPr>
          <w:tblHeader/>
        </w:trPr>
        <w:tc>
          <w:tcPr>
            <w:tcW w:w="5148" w:type="dxa"/>
            <w:shd w:val="clear" w:color="auto" w:fill="A6A6A6"/>
          </w:tcPr>
          <w:p w14:paraId="72EB1D9F" w14:textId="77777777" w:rsidR="00B832E8" w:rsidRPr="00B832E8" w:rsidRDefault="00B832E8" w:rsidP="00EA7593">
            <w:pPr>
              <w:pStyle w:val="BodyTextWithAbove"/>
              <w:rPr>
                <w:lang w:val="fr-BE"/>
              </w:rPr>
            </w:pPr>
          </w:p>
        </w:tc>
        <w:tc>
          <w:tcPr>
            <w:tcW w:w="5148" w:type="dxa"/>
            <w:shd w:val="clear" w:color="auto" w:fill="A6A6A6"/>
          </w:tcPr>
          <w:p w14:paraId="72EB1DA0" w14:textId="77777777" w:rsidR="00B832E8" w:rsidRPr="00B832E8" w:rsidRDefault="00B832E8" w:rsidP="00EA7593">
            <w:pPr>
              <w:pStyle w:val="BodyTextWithAbove"/>
              <w:rPr>
                <w:lang w:val="fr-BE"/>
              </w:rPr>
            </w:pPr>
            <w:r w:rsidRPr="00B832E8">
              <w:rPr>
                <w:lang w:val="fr-BE"/>
              </w:rPr>
              <w:t>Commentaires</w:t>
            </w:r>
          </w:p>
        </w:tc>
      </w:tr>
      <w:tr w:rsidR="00B832E8" w:rsidRPr="00B832E8" w14:paraId="72EB1DA3" w14:textId="77777777" w:rsidTr="00EA7593">
        <w:tc>
          <w:tcPr>
            <w:tcW w:w="10296" w:type="dxa"/>
            <w:gridSpan w:val="2"/>
            <w:shd w:val="clear" w:color="auto" w:fill="D9D9D9"/>
          </w:tcPr>
          <w:p w14:paraId="72EB1DA2" w14:textId="77777777" w:rsidR="00B832E8" w:rsidRPr="00B832E8" w:rsidRDefault="00B832E8" w:rsidP="00EA7593">
            <w:pPr>
              <w:pStyle w:val="BodyTextWithAbove"/>
              <w:jc w:val="both"/>
              <w:rPr>
                <w:b/>
                <w:lang w:val="fr-BE"/>
              </w:rPr>
            </w:pPr>
            <w:r w:rsidRPr="00B832E8">
              <w:rPr>
                <w:b/>
                <w:lang w:val="fr-BE"/>
              </w:rPr>
              <w:t>PARTIE 2 : EVALUATION DU PLAN D’ACTION DE LA DIRECTION</w:t>
            </w:r>
          </w:p>
        </w:tc>
      </w:tr>
      <w:tr w:rsidR="00B832E8" w:rsidRPr="00293F71" w14:paraId="72EB1DA6" w14:textId="77777777" w:rsidTr="00EA7593">
        <w:tc>
          <w:tcPr>
            <w:tcW w:w="5148" w:type="dxa"/>
            <w:shd w:val="clear" w:color="auto" w:fill="auto"/>
          </w:tcPr>
          <w:p w14:paraId="72EB1DA4" w14:textId="77777777" w:rsidR="00B832E8" w:rsidRPr="00B832E8" w:rsidRDefault="00B832E8" w:rsidP="00EA7593">
            <w:pPr>
              <w:pStyle w:val="HeadLevel2NoBoldNums"/>
              <w:numPr>
                <w:ilvl w:val="0"/>
                <w:numId w:val="17"/>
              </w:numPr>
              <w:rPr>
                <w:lang w:val="fr-BE"/>
              </w:rPr>
            </w:pPr>
            <w:r w:rsidRPr="00B832E8">
              <w:rPr>
                <w:lang w:val="fr-BE"/>
              </w:rPr>
              <w:t>Si la direction prévoit d’obtenir du capital complémentaire :</w:t>
            </w:r>
          </w:p>
        </w:tc>
        <w:tc>
          <w:tcPr>
            <w:tcW w:w="5148" w:type="dxa"/>
            <w:shd w:val="clear" w:color="auto" w:fill="auto"/>
          </w:tcPr>
          <w:p w14:paraId="72EB1DA5" w14:textId="77777777" w:rsidR="00B832E8" w:rsidRPr="00B832E8" w:rsidRDefault="00B832E8" w:rsidP="00EA7593">
            <w:pPr>
              <w:pStyle w:val="BodyTextWithAbove"/>
              <w:jc w:val="both"/>
              <w:rPr>
                <w:lang w:val="fr-BE"/>
              </w:rPr>
            </w:pPr>
          </w:p>
        </w:tc>
      </w:tr>
      <w:tr w:rsidR="007B01C6" w:rsidRPr="00BB029B" w14:paraId="72EB1DA9" w14:textId="77777777" w:rsidTr="00871CB3">
        <w:tc>
          <w:tcPr>
            <w:tcW w:w="5148" w:type="dxa"/>
            <w:shd w:val="clear" w:color="auto" w:fill="auto"/>
          </w:tcPr>
          <w:p w14:paraId="72EB1DA7" w14:textId="77777777" w:rsidR="007B01C6" w:rsidRPr="00B832E8" w:rsidRDefault="007B01C6" w:rsidP="00B832E8">
            <w:pPr>
              <w:pStyle w:val="HeadLevel2NoBoldNums"/>
              <w:numPr>
                <w:ilvl w:val="0"/>
                <w:numId w:val="18"/>
              </w:numPr>
              <w:rPr>
                <w:lang w:val="fr-BE"/>
              </w:rPr>
            </w:pPr>
            <w:r w:rsidRPr="00B832E8">
              <w:rPr>
                <w:lang w:val="fr-BE"/>
              </w:rPr>
              <w:t>Evaluer l’opération pro</w:t>
            </w:r>
            <w:r w:rsidR="00BB029B">
              <w:rPr>
                <w:lang w:val="fr-BE"/>
              </w:rPr>
              <w:t>jetée d’augmentation de capital.</w:t>
            </w:r>
            <w:r w:rsidRPr="00B832E8">
              <w:rPr>
                <w:lang w:val="fr-BE"/>
              </w:rPr>
              <w:t xml:space="preserve"> Apprécier la faisabilité de l’o</w:t>
            </w:r>
            <w:r w:rsidR="00BB029B">
              <w:rPr>
                <w:lang w:val="fr-BE"/>
              </w:rPr>
              <w:t>pération dans les délais requis.</w:t>
            </w:r>
            <w:r w:rsidRPr="00B832E8">
              <w:rPr>
                <w:lang w:val="fr-BE"/>
              </w:rPr>
              <w:t xml:space="preserve"> Vérifier que l’apport de trésorerie sera suffisant au regard des besoins.</w:t>
            </w:r>
          </w:p>
        </w:tc>
        <w:tc>
          <w:tcPr>
            <w:tcW w:w="5148" w:type="dxa"/>
            <w:shd w:val="clear" w:color="auto" w:fill="auto"/>
          </w:tcPr>
          <w:p w14:paraId="72EB1DA8" w14:textId="77777777" w:rsidR="007B01C6" w:rsidRPr="00B832E8" w:rsidRDefault="007B01C6" w:rsidP="00790E60">
            <w:pPr>
              <w:pStyle w:val="BodyTextWithAbove"/>
              <w:jc w:val="both"/>
              <w:rPr>
                <w:lang w:val="fr-BE"/>
              </w:rPr>
            </w:pPr>
          </w:p>
        </w:tc>
      </w:tr>
      <w:tr w:rsidR="007B01C6" w:rsidRPr="00293F71" w14:paraId="72EB1DAC" w14:textId="77777777" w:rsidTr="009E6F3C">
        <w:trPr>
          <w:trHeight w:val="953"/>
        </w:trPr>
        <w:tc>
          <w:tcPr>
            <w:tcW w:w="5148" w:type="dxa"/>
            <w:shd w:val="clear" w:color="auto" w:fill="auto"/>
          </w:tcPr>
          <w:p w14:paraId="72EB1DAA" w14:textId="77777777" w:rsidR="00602588" w:rsidRPr="00B832E8" w:rsidRDefault="007B01C6" w:rsidP="00B832E8">
            <w:pPr>
              <w:pStyle w:val="HeadLevel2NoBoldNums"/>
              <w:numPr>
                <w:ilvl w:val="0"/>
                <w:numId w:val="18"/>
              </w:numPr>
              <w:rPr>
                <w:lang w:val="fr-BE"/>
              </w:rPr>
            </w:pPr>
            <w:r w:rsidRPr="00B832E8">
              <w:rPr>
                <w:lang w:val="fr-BE"/>
              </w:rPr>
              <w:t>Evaluer l’impact de l’opération (s’il y en a un) sur les actionnaires existants (</w:t>
            </w:r>
            <w:r w:rsidR="00BB029B">
              <w:rPr>
                <w:lang w:val="fr-BE"/>
              </w:rPr>
              <w:t xml:space="preserve">p. </w:t>
            </w:r>
            <w:r w:rsidRPr="00B832E8">
              <w:rPr>
                <w:lang w:val="fr-BE"/>
              </w:rPr>
              <w:t>ex. si les nouveaux actionnaires se voient proposer une remise).</w:t>
            </w:r>
          </w:p>
        </w:tc>
        <w:tc>
          <w:tcPr>
            <w:tcW w:w="5148" w:type="dxa"/>
            <w:shd w:val="clear" w:color="auto" w:fill="auto"/>
          </w:tcPr>
          <w:p w14:paraId="72EB1DAB" w14:textId="77777777" w:rsidR="007B01C6" w:rsidRPr="00B832E8" w:rsidRDefault="007B01C6" w:rsidP="00790E60">
            <w:pPr>
              <w:pStyle w:val="BodyTextWithAbove"/>
              <w:jc w:val="both"/>
              <w:rPr>
                <w:lang w:val="fr-BE"/>
              </w:rPr>
            </w:pPr>
          </w:p>
        </w:tc>
      </w:tr>
      <w:tr w:rsidR="00161553" w:rsidRPr="00293F71" w14:paraId="72EB1DAF" w14:textId="77777777" w:rsidTr="00871CB3">
        <w:tc>
          <w:tcPr>
            <w:tcW w:w="5148" w:type="dxa"/>
            <w:shd w:val="clear" w:color="auto" w:fill="auto"/>
          </w:tcPr>
          <w:p w14:paraId="72EB1DAD" w14:textId="77777777" w:rsidR="009E6F3C" w:rsidRPr="00B832E8" w:rsidRDefault="00530390" w:rsidP="00B832E8">
            <w:pPr>
              <w:pStyle w:val="HeadLevel2NoBoldNums"/>
              <w:numPr>
                <w:ilvl w:val="0"/>
                <w:numId w:val="19"/>
              </w:numPr>
              <w:rPr>
                <w:lang w:val="fr-BE"/>
              </w:rPr>
            </w:pPr>
            <w:r w:rsidRPr="00B832E8">
              <w:rPr>
                <w:lang w:val="fr-BE"/>
              </w:rPr>
              <w:t>S’assurer que l’information contenue</w:t>
            </w:r>
            <w:r w:rsidR="00197AA2" w:rsidRPr="00B832E8">
              <w:rPr>
                <w:lang w:val="fr-BE"/>
              </w:rPr>
              <w:t xml:space="preserve"> dans le plan est cohérente d’un point de vue interne.</w:t>
            </w:r>
          </w:p>
        </w:tc>
        <w:tc>
          <w:tcPr>
            <w:tcW w:w="5148" w:type="dxa"/>
            <w:shd w:val="clear" w:color="auto" w:fill="auto"/>
          </w:tcPr>
          <w:p w14:paraId="72EB1DAE" w14:textId="77777777" w:rsidR="00161553" w:rsidRPr="00B832E8" w:rsidRDefault="00161553" w:rsidP="00790E60">
            <w:pPr>
              <w:pStyle w:val="BodyTextWithAbove"/>
              <w:jc w:val="both"/>
              <w:rPr>
                <w:lang w:val="fr-BE"/>
              </w:rPr>
            </w:pPr>
          </w:p>
        </w:tc>
      </w:tr>
      <w:tr w:rsidR="00161553" w:rsidRPr="00293F71" w14:paraId="72EB1DB2" w14:textId="77777777" w:rsidTr="009E6F3C">
        <w:trPr>
          <w:trHeight w:val="1378"/>
        </w:trPr>
        <w:tc>
          <w:tcPr>
            <w:tcW w:w="5148" w:type="dxa"/>
            <w:shd w:val="clear" w:color="auto" w:fill="auto"/>
          </w:tcPr>
          <w:p w14:paraId="72EB1DB0" w14:textId="77777777" w:rsidR="009E6F3C" w:rsidRPr="00B832E8" w:rsidRDefault="00197AA2" w:rsidP="00B832E8">
            <w:pPr>
              <w:pStyle w:val="HeadLevel2NoBoldNums"/>
              <w:numPr>
                <w:ilvl w:val="0"/>
                <w:numId w:val="19"/>
              </w:numPr>
              <w:rPr>
                <w:lang w:val="fr-BE"/>
              </w:rPr>
            </w:pPr>
            <w:r w:rsidRPr="00B832E8">
              <w:rPr>
                <w:lang w:val="fr-BE"/>
              </w:rPr>
              <w:t>Apprécier dans quelle mesure les hypothèses utilisées par la direction dans leurs prévisions de résultats et/ou cash-flow (pour les 12 prochains mois) sont raisonnables à la lumière des conditions générales du marché et du secteur.</w:t>
            </w:r>
          </w:p>
        </w:tc>
        <w:tc>
          <w:tcPr>
            <w:tcW w:w="5148" w:type="dxa"/>
            <w:shd w:val="clear" w:color="auto" w:fill="auto"/>
          </w:tcPr>
          <w:p w14:paraId="72EB1DB1" w14:textId="77777777" w:rsidR="00161553" w:rsidRPr="00B832E8" w:rsidRDefault="00161553" w:rsidP="00790E60">
            <w:pPr>
              <w:pStyle w:val="BodyTextWithAbove"/>
              <w:jc w:val="both"/>
              <w:rPr>
                <w:lang w:val="fr-BE"/>
              </w:rPr>
            </w:pPr>
          </w:p>
        </w:tc>
      </w:tr>
      <w:tr w:rsidR="00161553" w:rsidRPr="00B832E8" w14:paraId="72EB1DB5" w14:textId="77777777" w:rsidTr="009E6F3C">
        <w:trPr>
          <w:trHeight w:val="933"/>
        </w:trPr>
        <w:tc>
          <w:tcPr>
            <w:tcW w:w="5148" w:type="dxa"/>
            <w:shd w:val="clear" w:color="auto" w:fill="auto"/>
          </w:tcPr>
          <w:p w14:paraId="72EB1DB3" w14:textId="77777777" w:rsidR="009E6F3C" w:rsidRPr="00B832E8" w:rsidRDefault="00CD44B0" w:rsidP="00B832E8">
            <w:pPr>
              <w:pStyle w:val="HeadLevel2NoBoldNums"/>
              <w:numPr>
                <w:ilvl w:val="0"/>
                <w:numId w:val="20"/>
              </w:numPr>
              <w:rPr>
                <w:lang w:val="fr-BE"/>
              </w:rPr>
            </w:pPr>
            <w:r w:rsidRPr="00B832E8">
              <w:rPr>
                <w:lang w:val="fr-BE"/>
              </w:rPr>
              <w:t>Apprécier si les prévisions de la direction prennent en considération toute l’information pertinente dont ils ont connaissance.</w:t>
            </w:r>
          </w:p>
        </w:tc>
        <w:tc>
          <w:tcPr>
            <w:tcW w:w="5148" w:type="dxa"/>
            <w:shd w:val="clear" w:color="auto" w:fill="auto"/>
          </w:tcPr>
          <w:p w14:paraId="72EB1DB4" w14:textId="77777777" w:rsidR="00161553" w:rsidRPr="00B832E8" w:rsidRDefault="00161553" w:rsidP="00790E60">
            <w:pPr>
              <w:pStyle w:val="BodyTextWithAbove"/>
              <w:jc w:val="both"/>
              <w:rPr>
                <w:lang w:val="fr-BE"/>
              </w:rPr>
            </w:pPr>
          </w:p>
        </w:tc>
      </w:tr>
      <w:tr w:rsidR="00161553" w:rsidRPr="00293F71" w14:paraId="72EB1DB8" w14:textId="77777777" w:rsidTr="009E6F3C">
        <w:trPr>
          <w:trHeight w:val="963"/>
        </w:trPr>
        <w:tc>
          <w:tcPr>
            <w:tcW w:w="5148" w:type="dxa"/>
            <w:shd w:val="clear" w:color="auto" w:fill="auto"/>
          </w:tcPr>
          <w:p w14:paraId="72EB1DB6" w14:textId="77777777" w:rsidR="009E6F3C" w:rsidRPr="00B832E8" w:rsidRDefault="00CD44B0" w:rsidP="00B832E8">
            <w:pPr>
              <w:pStyle w:val="HeadLevel2NoBoldNums"/>
              <w:numPr>
                <w:ilvl w:val="0"/>
                <w:numId w:val="20"/>
              </w:numPr>
              <w:rPr>
                <w:lang w:val="fr-BE"/>
              </w:rPr>
            </w:pPr>
            <w:r w:rsidRPr="00B832E8">
              <w:rPr>
                <w:lang w:val="fr-BE"/>
              </w:rPr>
              <w:t>Vérifier si des faits/des informations additionnels sont disponibles depuis la première ébauche du plan d’action de la direction.</w:t>
            </w:r>
          </w:p>
        </w:tc>
        <w:tc>
          <w:tcPr>
            <w:tcW w:w="5148" w:type="dxa"/>
            <w:shd w:val="clear" w:color="auto" w:fill="auto"/>
          </w:tcPr>
          <w:p w14:paraId="72EB1DB7" w14:textId="77777777" w:rsidR="00161553" w:rsidRPr="00B832E8" w:rsidRDefault="00161553" w:rsidP="00790E60">
            <w:pPr>
              <w:pStyle w:val="BodyTextWithAbove"/>
              <w:jc w:val="both"/>
              <w:rPr>
                <w:lang w:val="fr-BE"/>
              </w:rPr>
            </w:pPr>
          </w:p>
        </w:tc>
      </w:tr>
      <w:tr w:rsidR="00161553" w:rsidRPr="00293F71" w14:paraId="72EB1DBB" w14:textId="77777777" w:rsidTr="00871CB3">
        <w:tc>
          <w:tcPr>
            <w:tcW w:w="5148" w:type="dxa"/>
            <w:shd w:val="clear" w:color="auto" w:fill="auto"/>
          </w:tcPr>
          <w:p w14:paraId="72EB1DB9" w14:textId="77777777" w:rsidR="00161553" w:rsidRPr="00B832E8" w:rsidRDefault="00CD44B0" w:rsidP="009E6F3C">
            <w:pPr>
              <w:pStyle w:val="HeadLevel2NoBoldNums"/>
              <w:numPr>
                <w:ilvl w:val="0"/>
                <w:numId w:val="20"/>
              </w:numPr>
              <w:rPr>
                <w:lang w:val="fr-BE"/>
              </w:rPr>
            </w:pPr>
            <w:r w:rsidRPr="00B832E8">
              <w:rPr>
                <w:lang w:val="fr-BE"/>
              </w:rPr>
              <w:t xml:space="preserve">Comparer les ventilations majeures dans </w:t>
            </w:r>
            <w:r w:rsidR="00782630" w:rsidRPr="00B832E8">
              <w:rPr>
                <w:lang w:val="fr-BE"/>
              </w:rPr>
              <w:t xml:space="preserve">la structure du </w:t>
            </w:r>
            <w:r w:rsidRPr="00B832E8">
              <w:rPr>
                <w:lang w:val="fr-BE"/>
              </w:rPr>
              <w:t>résultat et/ou d</w:t>
            </w:r>
            <w:r w:rsidR="00782630" w:rsidRPr="00B832E8">
              <w:rPr>
                <w:lang w:val="fr-BE"/>
              </w:rPr>
              <w:t>u</w:t>
            </w:r>
            <w:r w:rsidRPr="00B832E8">
              <w:rPr>
                <w:lang w:val="fr-BE"/>
              </w:rPr>
              <w:t xml:space="preserve"> cash-flow (tels que ventes, coût des ventes, frais généraux, etc.) aux </w:t>
            </w:r>
            <w:r w:rsidR="00F12E24" w:rsidRPr="00B832E8">
              <w:rPr>
                <w:lang w:val="fr-BE"/>
              </w:rPr>
              <w:t xml:space="preserve">exercices </w:t>
            </w:r>
            <w:r w:rsidRPr="00B832E8">
              <w:rPr>
                <w:lang w:val="fr-BE"/>
              </w:rPr>
              <w:t>précédents et évaluer le bien</w:t>
            </w:r>
            <w:r w:rsidR="00F12E24" w:rsidRPr="00B832E8">
              <w:rPr>
                <w:lang w:val="fr-BE"/>
              </w:rPr>
              <w:t>-</w:t>
            </w:r>
            <w:r w:rsidRPr="00B832E8">
              <w:rPr>
                <w:lang w:val="fr-BE"/>
              </w:rPr>
              <w:t>fondé des prévisions de la direction.</w:t>
            </w:r>
          </w:p>
        </w:tc>
        <w:tc>
          <w:tcPr>
            <w:tcW w:w="5148" w:type="dxa"/>
            <w:shd w:val="clear" w:color="auto" w:fill="auto"/>
          </w:tcPr>
          <w:p w14:paraId="72EB1DBA" w14:textId="77777777" w:rsidR="00161553" w:rsidRPr="00B832E8" w:rsidRDefault="00161553" w:rsidP="00790E60">
            <w:pPr>
              <w:pStyle w:val="BodyTextWithAbove"/>
              <w:jc w:val="both"/>
              <w:rPr>
                <w:lang w:val="fr-BE"/>
              </w:rPr>
            </w:pPr>
          </w:p>
        </w:tc>
      </w:tr>
      <w:tr w:rsidR="00161553" w:rsidRPr="00293F71" w14:paraId="72EB1DBE" w14:textId="77777777" w:rsidTr="00BB029B">
        <w:tc>
          <w:tcPr>
            <w:tcW w:w="5148" w:type="dxa"/>
            <w:tcBorders>
              <w:bottom w:val="nil"/>
            </w:tcBorders>
            <w:shd w:val="clear" w:color="auto" w:fill="auto"/>
          </w:tcPr>
          <w:p w14:paraId="72EB1DBC" w14:textId="77777777" w:rsidR="00CD44B0" w:rsidRPr="00B832E8" w:rsidRDefault="00CD44B0" w:rsidP="009E6F3C">
            <w:pPr>
              <w:pStyle w:val="HeadLevel2NoBoldNums"/>
              <w:numPr>
                <w:ilvl w:val="0"/>
                <w:numId w:val="20"/>
              </w:numPr>
              <w:rPr>
                <w:lang w:val="fr-BE"/>
              </w:rPr>
            </w:pPr>
            <w:r w:rsidRPr="00B832E8">
              <w:rPr>
                <w:lang w:val="fr-BE"/>
              </w:rPr>
              <w:t>Vérifier l’exactitude arithmétique de l’information et des calculs figurant dans :</w:t>
            </w:r>
          </w:p>
        </w:tc>
        <w:tc>
          <w:tcPr>
            <w:tcW w:w="5148" w:type="dxa"/>
            <w:tcBorders>
              <w:bottom w:val="nil"/>
            </w:tcBorders>
            <w:shd w:val="clear" w:color="auto" w:fill="auto"/>
          </w:tcPr>
          <w:p w14:paraId="72EB1DBD" w14:textId="77777777" w:rsidR="00161553" w:rsidRPr="00B832E8" w:rsidRDefault="00161553" w:rsidP="00790E60">
            <w:pPr>
              <w:pStyle w:val="BodyTextWithAbove"/>
              <w:jc w:val="both"/>
              <w:rPr>
                <w:lang w:val="fr-BE"/>
              </w:rPr>
            </w:pPr>
          </w:p>
        </w:tc>
      </w:tr>
      <w:tr w:rsidR="007B01C6" w:rsidRPr="00B832E8" w14:paraId="72EB1DC1" w14:textId="77777777" w:rsidTr="00BB029B">
        <w:tc>
          <w:tcPr>
            <w:tcW w:w="5148" w:type="dxa"/>
            <w:tcBorders>
              <w:top w:val="nil"/>
              <w:left w:val="single" w:sz="4" w:space="0" w:color="auto"/>
              <w:bottom w:val="nil"/>
              <w:right w:val="single" w:sz="4" w:space="0" w:color="auto"/>
            </w:tcBorders>
            <w:shd w:val="clear" w:color="auto" w:fill="auto"/>
          </w:tcPr>
          <w:p w14:paraId="72EB1DBF" w14:textId="77777777" w:rsidR="007B01C6" w:rsidRPr="00B832E8" w:rsidRDefault="007B01C6" w:rsidP="00B832E8">
            <w:pPr>
              <w:pStyle w:val="HeadLevel2NoBoldNums"/>
              <w:numPr>
                <w:ilvl w:val="0"/>
                <w:numId w:val="29"/>
              </w:numPr>
              <w:rPr>
                <w:lang w:val="fr-BE"/>
              </w:rPr>
            </w:pPr>
            <w:r w:rsidRPr="00B832E8">
              <w:rPr>
                <w:lang w:val="fr-BE"/>
              </w:rPr>
              <w:t>Le plan d’action</w:t>
            </w:r>
            <w:r w:rsidR="00BB029B">
              <w:rPr>
                <w:lang w:val="fr-BE"/>
              </w:rPr>
              <w:t> ;</w:t>
            </w:r>
          </w:p>
        </w:tc>
        <w:tc>
          <w:tcPr>
            <w:tcW w:w="5148" w:type="dxa"/>
            <w:tcBorders>
              <w:top w:val="nil"/>
              <w:left w:val="single" w:sz="4" w:space="0" w:color="auto"/>
              <w:bottom w:val="nil"/>
              <w:right w:val="single" w:sz="4" w:space="0" w:color="auto"/>
            </w:tcBorders>
            <w:shd w:val="clear" w:color="auto" w:fill="auto"/>
          </w:tcPr>
          <w:p w14:paraId="72EB1DC0" w14:textId="77777777" w:rsidR="007B01C6" w:rsidRPr="00B832E8" w:rsidRDefault="007B01C6" w:rsidP="00790E60">
            <w:pPr>
              <w:pStyle w:val="BodyTextWithAbove"/>
              <w:jc w:val="both"/>
              <w:rPr>
                <w:lang w:val="fr-BE"/>
              </w:rPr>
            </w:pPr>
          </w:p>
        </w:tc>
      </w:tr>
      <w:tr w:rsidR="007B01C6" w:rsidRPr="00B832E8" w14:paraId="72EB1DC4" w14:textId="77777777" w:rsidTr="00BB029B">
        <w:tc>
          <w:tcPr>
            <w:tcW w:w="5148" w:type="dxa"/>
            <w:tcBorders>
              <w:top w:val="nil"/>
              <w:left w:val="single" w:sz="4" w:space="0" w:color="auto"/>
              <w:bottom w:val="single" w:sz="4" w:space="0" w:color="auto"/>
              <w:right w:val="single" w:sz="4" w:space="0" w:color="auto"/>
            </w:tcBorders>
            <w:shd w:val="clear" w:color="auto" w:fill="auto"/>
          </w:tcPr>
          <w:p w14:paraId="72EB1DC2" w14:textId="77777777" w:rsidR="009E6F3C" w:rsidRPr="00B832E8" w:rsidRDefault="007B01C6" w:rsidP="00B832E8">
            <w:pPr>
              <w:pStyle w:val="HeadLevel2NoBoldNums"/>
              <w:numPr>
                <w:ilvl w:val="0"/>
                <w:numId w:val="29"/>
              </w:numPr>
              <w:rPr>
                <w:lang w:val="fr-BE"/>
              </w:rPr>
            </w:pPr>
            <w:r w:rsidRPr="00B832E8">
              <w:rPr>
                <w:lang w:val="fr-BE"/>
              </w:rPr>
              <w:t>Les prévisions de résultats et de cash-flows.</w:t>
            </w:r>
          </w:p>
        </w:tc>
        <w:tc>
          <w:tcPr>
            <w:tcW w:w="5148" w:type="dxa"/>
            <w:tcBorders>
              <w:top w:val="nil"/>
              <w:left w:val="single" w:sz="4" w:space="0" w:color="auto"/>
              <w:bottom w:val="single" w:sz="4" w:space="0" w:color="auto"/>
              <w:right w:val="single" w:sz="4" w:space="0" w:color="auto"/>
            </w:tcBorders>
            <w:shd w:val="clear" w:color="auto" w:fill="auto"/>
          </w:tcPr>
          <w:p w14:paraId="72EB1DC3" w14:textId="77777777" w:rsidR="007B01C6" w:rsidRPr="00B832E8" w:rsidRDefault="007B01C6" w:rsidP="00790E60">
            <w:pPr>
              <w:pStyle w:val="BodyTextWithAbove"/>
              <w:jc w:val="both"/>
              <w:rPr>
                <w:lang w:val="fr-BE"/>
              </w:rPr>
            </w:pPr>
          </w:p>
        </w:tc>
      </w:tr>
      <w:tr w:rsidR="00161553" w:rsidRPr="00293F71" w14:paraId="72EB1DC9" w14:textId="77777777" w:rsidTr="00BB029B">
        <w:tc>
          <w:tcPr>
            <w:tcW w:w="5148" w:type="dxa"/>
            <w:tcBorders>
              <w:top w:val="single" w:sz="4" w:space="0" w:color="auto"/>
            </w:tcBorders>
            <w:shd w:val="clear" w:color="auto" w:fill="auto"/>
          </w:tcPr>
          <w:p w14:paraId="72EB1DC5" w14:textId="77777777" w:rsidR="00161553" w:rsidRPr="00B832E8" w:rsidRDefault="00141D13" w:rsidP="009E6F3C">
            <w:pPr>
              <w:pStyle w:val="HeadLevel2NoBoldNums"/>
              <w:numPr>
                <w:ilvl w:val="0"/>
                <w:numId w:val="22"/>
              </w:numPr>
              <w:rPr>
                <w:lang w:val="fr-BE"/>
              </w:rPr>
            </w:pPr>
            <w:r w:rsidRPr="00B832E8">
              <w:rPr>
                <w:lang w:val="fr-BE"/>
              </w:rPr>
              <w:t xml:space="preserve">Sur base des résultats des procédures ci-dessus, évaluer si les plans d’action de la direction auront pour résultat une réduction effective de </w:t>
            </w:r>
            <w:r w:rsidR="00782630" w:rsidRPr="00B832E8">
              <w:rPr>
                <w:lang w:val="fr-BE"/>
              </w:rPr>
              <w:t>l</w:t>
            </w:r>
            <w:r w:rsidRPr="00B832E8">
              <w:rPr>
                <w:lang w:val="fr-BE"/>
              </w:rPr>
              <w:t xml:space="preserve">‘impact défavorable des </w:t>
            </w:r>
            <w:r w:rsidR="00D224A0" w:rsidRPr="00B832E8">
              <w:rPr>
                <w:lang w:val="fr-BE"/>
              </w:rPr>
              <w:t>événements</w:t>
            </w:r>
            <w:r w:rsidRPr="00B832E8">
              <w:rPr>
                <w:lang w:val="fr-BE"/>
              </w:rPr>
              <w:t xml:space="preserve"> et circonstances identifiés.</w:t>
            </w:r>
          </w:p>
          <w:p w14:paraId="72EB1DC6" w14:textId="77777777" w:rsidR="00D224A0" w:rsidRPr="00B832E8" w:rsidRDefault="00D224A0" w:rsidP="009E6F3C">
            <w:pPr>
              <w:pStyle w:val="HeadLevel2NoBoldNums"/>
              <w:rPr>
                <w:lang w:val="fr-BE"/>
              </w:rPr>
            </w:pPr>
            <w:r w:rsidRPr="00B832E8">
              <w:rPr>
                <w:lang w:val="fr-BE"/>
              </w:rPr>
              <w:t>Evaluer également la faisabilité du plan et la possibilité qu’il a d’être mis en œuvre avec succès.</w:t>
            </w:r>
          </w:p>
          <w:p w14:paraId="72EB1DC7" w14:textId="77777777" w:rsidR="00D224A0" w:rsidRPr="00B832E8" w:rsidRDefault="00D224A0" w:rsidP="009E6F3C">
            <w:pPr>
              <w:pStyle w:val="HeadLevel2NoBoldNums"/>
              <w:rPr>
                <w:lang w:val="fr-BE"/>
              </w:rPr>
            </w:pPr>
            <w:r w:rsidRPr="00B832E8">
              <w:rPr>
                <w:lang w:val="fr-BE"/>
              </w:rPr>
              <w:t xml:space="preserve">Obtenir une confirmation écrite de la direction concernant les plans d’actions futures ainsi que leur </w:t>
            </w:r>
            <w:r w:rsidRPr="00B832E8">
              <w:rPr>
                <w:lang w:val="fr-BE"/>
              </w:rPr>
              <w:lastRenderedPageBreak/>
              <w:t>faisabilité</w:t>
            </w:r>
            <w:r w:rsidR="00265BCC" w:rsidRPr="00B832E8">
              <w:rPr>
                <w:lang w:val="fr-BE"/>
              </w:rPr>
              <w:t xml:space="preserve"> </w:t>
            </w:r>
            <w:r w:rsidR="00782630" w:rsidRPr="00B832E8">
              <w:rPr>
                <w:lang w:val="fr-BE"/>
              </w:rPr>
              <w:t>(lettre d’affirmation)</w:t>
            </w:r>
            <w:r w:rsidR="00265BCC" w:rsidRPr="00B832E8">
              <w:rPr>
                <w:lang w:val="fr-BE"/>
              </w:rPr>
              <w:t>.</w:t>
            </w:r>
          </w:p>
        </w:tc>
        <w:tc>
          <w:tcPr>
            <w:tcW w:w="5148" w:type="dxa"/>
            <w:tcBorders>
              <w:top w:val="single" w:sz="4" w:space="0" w:color="auto"/>
            </w:tcBorders>
            <w:shd w:val="clear" w:color="auto" w:fill="auto"/>
          </w:tcPr>
          <w:p w14:paraId="72EB1DC8" w14:textId="77777777" w:rsidR="00161553" w:rsidRPr="00B832E8" w:rsidRDefault="00161553" w:rsidP="00790E60">
            <w:pPr>
              <w:pStyle w:val="BodyTextWithAbove"/>
              <w:jc w:val="both"/>
              <w:rPr>
                <w:lang w:val="fr-BE"/>
              </w:rPr>
            </w:pPr>
          </w:p>
        </w:tc>
      </w:tr>
    </w:tbl>
    <w:p w14:paraId="72EB1DCA" w14:textId="77777777" w:rsidR="00B832E8" w:rsidRPr="00842030" w:rsidRDefault="00B832E8">
      <w:pPr>
        <w:rPr>
          <w:lang w:val="fr-BE"/>
        </w:rPr>
      </w:pPr>
      <w:r w:rsidRPr="00842030">
        <w:rPr>
          <w:lang w:val="fr-BE"/>
        </w:rPr>
        <w:br w:type="page"/>
      </w:r>
    </w:p>
    <w:tbl>
      <w:tblPr>
        <w:tblW w:w="10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B832E8" w:rsidRPr="00B832E8" w14:paraId="72EB1DCD" w14:textId="77777777" w:rsidTr="00EA7593">
        <w:trPr>
          <w:tblHeader/>
        </w:trPr>
        <w:tc>
          <w:tcPr>
            <w:tcW w:w="5148" w:type="dxa"/>
            <w:shd w:val="clear" w:color="auto" w:fill="A6A6A6"/>
          </w:tcPr>
          <w:p w14:paraId="72EB1DCB" w14:textId="77777777" w:rsidR="00B832E8" w:rsidRPr="00B832E8" w:rsidRDefault="00B832E8" w:rsidP="00EA7593">
            <w:pPr>
              <w:pStyle w:val="BodyTextWithAbove"/>
              <w:rPr>
                <w:lang w:val="fr-BE"/>
              </w:rPr>
            </w:pPr>
          </w:p>
        </w:tc>
        <w:tc>
          <w:tcPr>
            <w:tcW w:w="5148" w:type="dxa"/>
            <w:shd w:val="clear" w:color="auto" w:fill="A6A6A6"/>
          </w:tcPr>
          <w:p w14:paraId="72EB1DCC" w14:textId="77777777" w:rsidR="00B832E8" w:rsidRPr="00B832E8" w:rsidRDefault="00B832E8" w:rsidP="00EA7593">
            <w:pPr>
              <w:pStyle w:val="BodyTextWithAbove"/>
              <w:rPr>
                <w:lang w:val="fr-BE"/>
              </w:rPr>
            </w:pPr>
            <w:r w:rsidRPr="00B832E8">
              <w:rPr>
                <w:lang w:val="fr-BE"/>
              </w:rPr>
              <w:t>Commentaires</w:t>
            </w:r>
          </w:p>
        </w:tc>
      </w:tr>
      <w:tr w:rsidR="00B832E8" w:rsidRPr="00B832E8" w14:paraId="72EB1DCF" w14:textId="77777777" w:rsidTr="00EA7593">
        <w:tc>
          <w:tcPr>
            <w:tcW w:w="10296" w:type="dxa"/>
            <w:gridSpan w:val="2"/>
            <w:shd w:val="clear" w:color="auto" w:fill="D9D9D9"/>
          </w:tcPr>
          <w:p w14:paraId="72EB1DCE" w14:textId="77777777" w:rsidR="00B832E8" w:rsidRPr="00B832E8" w:rsidRDefault="00B832E8" w:rsidP="00EA7593">
            <w:pPr>
              <w:pStyle w:val="BodyTextWithAbove"/>
              <w:jc w:val="both"/>
              <w:rPr>
                <w:b/>
                <w:lang w:val="fr-BE"/>
              </w:rPr>
            </w:pPr>
            <w:r w:rsidRPr="00B832E8">
              <w:rPr>
                <w:b/>
                <w:lang w:val="fr-BE"/>
              </w:rPr>
              <w:t>PARTIE 2 : EVALUATION DU PLAN D’ACTION DE LA DIRECTION</w:t>
            </w:r>
          </w:p>
        </w:tc>
      </w:tr>
      <w:tr w:rsidR="00161553" w:rsidRPr="00293F71" w14:paraId="72EB1DD2" w14:textId="77777777" w:rsidTr="00871CB3">
        <w:tc>
          <w:tcPr>
            <w:tcW w:w="5148" w:type="dxa"/>
            <w:shd w:val="clear" w:color="auto" w:fill="auto"/>
          </w:tcPr>
          <w:p w14:paraId="72EB1DD0" w14:textId="77777777" w:rsidR="00161553" w:rsidRPr="00B832E8" w:rsidRDefault="00D224A0" w:rsidP="009E6F3C">
            <w:pPr>
              <w:pStyle w:val="HeadLevel2NoBoldNums"/>
              <w:numPr>
                <w:ilvl w:val="0"/>
                <w:numId w:val="23"/>
              </w:numPr>
              <w:rPr>
                <w:lang w:val="fr-BE"/>
              </w:rPr>
            </w:pPr>
            <w:r w:rsidRPr="00B832E8">
              <w:rPr>
                <w:lang w:val="fr-BE"/>
              </w:rPr>
              <w:t>Examiner si les mesures proposées par l’organe de gestion peuvent assurer la continuité de la société. Si vous n’avez pas été adéquatement informé des plans de la direction endéans le mois de la notification écrite, il convient d’apprécier la possibilité de communiquer les constations au</w:t>
            </w:r>
            <w:r w:rsidR="00873041" w:rsidRPr="00B832E8">
              <w:rPr>
                <w:lang w:val="fr-BE"/>
              </w:rPr>
              <w:t xml:space="preserve"> président du tribunal de commerce (art.138 C</w:t>
            </w:r>
            <w:r w:rsidR="00767AB4" w:rsidRPr="00B832E8">
              <w:rPr>
                <w:lang w:val="fr-BE"/>
              </w:rPr>
              <w:t>.</w:t>
            </w:r>
            <w:r w:rsidR="00B832E8">
              <w:rPr>
                <w:lang w:val="fr-BE"/>
              </w:rPr>
              <w:t xml:space="preserve"> </w:t>
            </w:r>
            <w:r w:rsidR="00767AB4" w:rsidRPr="00B832E8">
              <w:rPr>
                <w:lang w:val="fr-BE"/>
              </w:rPr>
              <w:t>Soc.</w:t>
            </w:r>
            <w:r w:rsidR="00873041" w:rsidRPr="00B832E8">
              <w:rPr>
                <w:lang w:val="fr-BE"/>
              </w:rPr>
              <w:t>).</w:t>
            </w:r>
          </w:p>
        </w:tc>
        <w:tc>
          <w:tcPr>
            <w:tcW w:w="5148" w:type="dxa"/>
            <w:shd w:val="clear" w:color="auto" w:fill="auto"/>
          </w:tcPr>
          <w:p w14:paraId="72EB1DD1" w14:textId="77777777" w:rsidR="00161553" w:rsidRPr="00B832E8" w:rsidRDefault="00161553" w:rsidP="00790E60">
            <w:pPr>
              <w:pStyle w:val="BodyTextWithAbove"/>
              <w:jc w:val="both"/>
              <w:rPr>
                <w:lang w:val="fr-BE"/>
              </w:rPr>
            </w:pPr>
          </w:p>
        </w:tc>
      </w:tr>
      <w:tr w:rsidR="00161553" w:rsidRPr="00293F71" w14:paraId="72EB1DD5" w14:textId="77777777" w:rsidTr="00871CB3">
        <w:tc>
          <w:tcPr>
            <w:tcW w:w="5148" w:type="dxa"/>
            <w:shd w:val="clear" w:color="auto" w:fill="auto"/>
          </w:tcPr>
          <w:p w14:paraId="72EB1DD3" w14:textId="77777777" w:rsidR="00873041" w:rsidRPr="00B832E8" w:rsidRDefault="00873041" w:rsidP="009E6F3C">
            <w:pPr>
              <w:pStyle w:val="HeadLevel2NoBoldNums"/>
              <w:numPr>
                <w:ilvl w:val="0"/>
                <w:numId w:val="23"/>
              </w:numPr>
              <w:rPr>
                <w:lang w:val="fr-BE"/>
              </w:rPr>
            </w:pPr>
            <w:r w:rsidRPr="00B832E8">
              <w:rPr>
                <w:lang w:val="fr-BE"/>
              </w:rPr>
              <w:t xml:space="preserve">Présentation des </w:t>
            </w:r>
            <w:r w:rsidR="00BA5B7C" w:rsidRPr="00B832E8">
              <w:rPr>
                <w:lang w:val="fr-BE"/>
              </w:rPr>
              <w:t>comptes annuels</w:t>
            </w:r>
            <w:r w:rsidRPr="00B832E8">
              <w:rPr>
                <w:lang w:val="fr-BE"/>
              </w:rPr>
              <w:t xml:space="preserve"> (y compris les annexes) :</w:t>
            </w:r>
          </w:p>
        </w:tc>
        <w:tc>
          <w:tcPr>
            <w:tcW w:w="5148" w:type="dxa"/>
            <w:shd w:val="clear" w:color="auto" w:fill="auto"/>
          </w:tcPr>
          <w:p w14:paraId="72EB1DD4" w14:textId="77777777" w:rsidR="00161553" w:rsidRPr="00B832E8" w:rsidRDefault="00161553" w:rsidP="00790E60">
            <w:pPr>
              <w:pStyle w:val="BodyTextWithAbove"/>
              <w:jc w:val="both"/>
              <w:rPr>
                <w:lang w:val="fr-BE"/>
              </w:rPr>
            </w:pPr>
          </w:p>
        </w:tc>
      </w:tr>
      <w:tr w:rsidR="007B01C6" w:rsidRPr="00293F71" w14:paraId="72EB1DD8" w14:textId="77777777" w:rsidTr="00871CB3">
        <w:tc>
          <w:tcPr>
            <w:tcW w:w="5148" w:type="dxa"/>
            <w:shd w:val="clear" w:color="auto" w:fill="auto"/>
          </w:tcPr>
          <w:p w14:paraId="72EB1DD6" w14:textId="77777777" w:rsidR="007B01C6" w:rsidRPr="00B832E8" w:rsidRDefault="007B01C6" w:rsidP="00BB029B">
            <w:pPr>
              <w:pStyle w:val="HeadLevel2NoBoldNums"/>
              <w:numPr>
                <w:ilvl w:val="0"/>
                <w:numId w:val="30"/>
              </w:numPr>
              <w:rPr>
                <w:lang w:val="fr-BE"/>
              </w:rPr>
            </w:pPr>
            <w:r w:rsidRPr="00B832E8">
              <w:rPr>
                <w:lang w:val="fr-BE"/>
              </w:rPr>
              <w:t xml:space="preserve">S’assurer que toute incertitude significative est correctement renseignée </w:t>
            </w:r>
            <w:r w:rsidR="00BB029B">
              <w:rPr>
                <w:lang w:val="fr-BE"/>
              </w:rPr>
              <w:t xml:space="preserve">dans les </w:t>
            </w:r>
            <w:r w:rsidRPr="00B832E8">
              <w:rPr>
                <w:lang w:val="fr-BE"/>
              </w:rPr>
              <w:t>annexe</w:t>
            </w:r>
            <w:r w:rsidR="00BB029B">
              <w:rPr>
                <w:lang w:val="fr-BE"/>
              </w:rPr>
              <w:t>s</w:t>
            </w:r>
            <w:r w:rsidRPr="00B832E8">
              <w:rPr>
                <w:lang w:val="fr-BE"/>
              </w:rPr>
              <w:t xml:space="preserve"> des </w:t>
            </w:r>
            <w:r w:rsidR="00BA5B7C" w:rsidRPr="00B832E8">
              <w:rPr>
                <w:lang w:val="fr-BE"/>
              </w:rPr>
              <w:t>comptes annuels</w:t>
            </w:r>
            <w:r w:rsidRPr="00B832E8">
              <w:rPr>
                <w:lang w:val="fr-BE"/>
              </w:rPr>
              <w:t xml:space="preserve">. Dans le cas contraire, une opinion avec réserve ou une opinion </w:t>
            </w:r>
            <w:r w:rsidR="00BB029B" w:rsidRPr="00B832E8">
              <w:rPr>
                <w:lang w:val="fr-BE"/>
              </w:rPr>
              <w:t xml:space="preserve">négative </w:t>
            </w:r>
            <w:r w:rsidRPr="00B832E8">
              <w:rPr>
                <w:lang w:val="fr-BE"/>
              </w:rPr>
              <w:t>s’impose.</w:t>
            </w:r>
          </w:p>
        </w:tc>
        <w:tc>
          <w:tcPr>
            <w:tcW w:w="5148" w:type="dxa"/>
            <w:shd w:val="clear" w:color="auto" w:fill="auto"/>
          </w:tcPr>
          <w:p w14:paraId="72EB1DD7" w14:textId="77777777" w:rsidR="007B01C6" w:rsidRPr="00B832E8" w:rsidRDefault="007B01C6" w:rsidP="00790E60">
            <w:pPr>
              <w:pStyle w:val="BodyTextWithAbove"/>
              <w:jc w:val="both"/>
              <w:rPr>
                <w:lang w:val="fr-BE"/>
              </w:rPr>
            </w:pPr>
          </w:p>
        </w:tc>
      </w:tr>
      <w:tr w:rsidR="007B01C6" w:rsidRPr="00293F71" w14:paraId="72EB1DDB" w14:textId="77777777" w:rsidTr="00871CB3">
        <w:tc>
          <w:tcPr>
            <w:tcW w:w="5148" w:type="dxa"/>
            <w:shd w:val="clear" w:color="auto" w:fill="auto"/>
          </w:tcPr>
          <w:p w14:paraId="72EB1DD9" w14:textId="77777777" w:rsidR="007B01C6" w:rsidRPr="00B832E8" w:rsidRDefault="007B01C6" w:rsidP="00B832E8">
            <w:pPr>
              <w:pStyle w:val="HeadLevel2NoBoldNums"/>
              <w:numPr>
                <w:ilvl w:val="0"/>
                <w:numId w:val="30"/>
              </w:numPr>
              <w:rPr>
                <w:lang w:val="fr-BE"/>
              </w:rPr>
            </w:pPr>
            <w:r w:rsidRPr="00B832E8">
              <w:rPr>
                <w:lang w:val="fr-BE"/>
              </w:rPr>
              <w:t>Si l’hypothèse de continuité d’activité est utilisée mais n’est pas appropriée, une opinion négative sera requise.</w:t>
            </w:r>
          </w:p>
        </w:tc>
        <w:tc>
          <w:tcPr>
            <w:tcW w:w="5148" w:type="dxa"/>
            <w:shd w:val="clear" w:color="auto" w:fill="auto"/>
          </w:tcPr>
          <w:p w14:paraId="72EB1DDA" w14:textId="77777777" w:rsidR="007B01C6" w:rsidRPr="00B832E8" w:rsidRDefault="007B01C6" w:rsidP="00790E60">
            <w:pPr>
              <w:pStyle w:val="BodyTextWithAbove"/>
              <w:jc w:val="both"/>
              <w:rPr>
                <w:lang w:val="fr-BE"/>
              </w:rPr>
            </w:pPr>
          </w:p>
        </w:tc>
      </w:tr>
      <w:tr w:rsidR="007B01C6" w:rsidRPr="00293F71" w14:paraId="72EB1DDE" w14:textId="77777777" w:rsidTr="00871CB3">
        <w:tc>
          <w:tcPr>
            <w:tcW w:w="5148" w:type="dxa"/>
            <w:shd w:val="clear" w:color="auto" w:fill="auto"/>
          </w:tcPr>
          <w:p w14:paraId="72EB1DDC" w14:textId="77777777" w:rsidR="007B01C6" w:rsidRPr="00B832E8" w:rsidRDefault="007B01C6" w:rsidP="009E6F3C">
            <w:pPr>
              <w:pStyle w:val="HeadLevel2NoBoldNums"/>
              <w:numPr>
                <w:ilvl w:val="0"/>
                <w:numId w:val="30"/>
              </w:numPr>
              <w:rPr>
                <w:lang w:val="fr-BE"/>
              </w:rPr>
            </w:pPr>
            <w:r w:rsidRPr="00B832E8">
              <w:rPr>
                <w:lang w:val="fr-BE"/>
              </w:rPr>
              <w:t>Utiliser la check-list D1 « </w:t>
            </w:r>
            <w:r w:rsidR="00265BCC" w:rsidRPr="00B832E8">
              <w:rPr>
                <w:lang w:val="fr-BE"/>
              </w:rPr>
              <w:t xml:space="preserve">Contrôle des </w:t>
            </w:r>
            <w:r w:rsidR="00BA5B7C" w:rsidRPr="00B832E8">
              <w:rPr>
                <w:lang w:val="fr-BE"/>
              </w:rPr>
              <w:t>comptes annuels</w:t>
            </w:r>
            <w:r w:rsidR="00265BCC" w:rsidRPr="00B832E8">
              <w:rPr>
                <w:lang w:val="fr-BE"/>
              </w:rPr>
              <w:t xml:space="preserve"> à déposer à la BNB</w:t>
            </w:r>
            <w:r w:rsidRPr="00B832E8">
              <w:rPr>
                <w:lang w:val="fr-BE"/>
              </w:rPr>
              <w:t> » applicable en fonction du référentiel comptable utilisé.</w:t>
            </w:r>
          </w:p>
        </w:tc>
        <w:tc>
          <w:tcPr>
            <w:tcW w:w="5148" w:type="dxa"/>
            <w:shd w:val="clear" w:color="auto" w:fill="auto"/>
          </w:tcPr>
          <w:p w14:paraId="72EB1DDD" w14:textId="77777777" w:rsidR="007B01C6" w:rsidRPr="00B832E8" w:rsidRDefault="007B01C6" w:rsidP="00790E60">
            <w:pPr>
              <w:pStyle w:val="BodyTextWithAbove"/>
              <w:jc w:val="both"/>
              <w:rPr>
                <w:lang w:val="fr-BE"/>
              </w:rPr>
            </w:pPr>
          </w:p>
        </w:tc>
      </w:tr>
      <w:tr w:rsidR="00873041" w:rsidRPr="009C5AD9" w14:paraId="72EB1DE0" w14:textId="77777777" w:rsidTr="00350DCE">
        <w:tc>
          <w:tcPr>
            <w:tcW w:w="10296" w:type="dxa"/>
            <w:gridSpan w:val="2"/>
            <w:shd w:val="clear" w:color="auto" w:fill="D9D9D9"/>
          </w:tcPr>
          <w:p w14:paraId="72EB1DDF" w14:textId="77777777" w:rsidR="00873041" w:rsidRPr="00B832E8" w:rsidRDefault="00A43B19" w:rsidP="009E6F3C">
            <w:pPr>
              <w:pStyle w:val="HeadLevel2NoBoldNums"/>
              <w:rPr>
                <w:b/>
                <w:lang w:val="fr-BE"/>
              </w:rPr>
            </w:pPr>
            <w:r w:rsidRPr="00B832E8">
              <w:rPr>
                <w:b/>
                <w:lang w:val="fr-BE"/>
              </w:rPr>
              <w:t>CONCLUSIONS</w:t>
            </w:r>
          </w:p>
        </w:tc>
      </w:tr>
      <w:tr w:rsidR="00871CB3" w:rsidRPr="009C5AD9" w14:paraId="72EB1DE7" w14:textId="77777777" w:rsidTr="00871CB3">
        <w:tc>
          <w:tcPr>
            <w:tcW w:w="10296" w:type="dxa"/>
            <w:gridSpan w:val="2"/>
            <w:shd w:val="clear" w:color="auto" w:fill="auto"/>
          </w:tcPr>
          <w:p w14:paraId="72EB1DE1" w14:textId="77777777" w:rsidR="00871CB3" w:rsidRDefault="00871CB3" w:rsidP="009E6F3C">
            <w:pPr>
              <w:pStyle w:val="HeadLevel2NoBoldNums"/>
              <w:rPr>
                <w:lang w:val="fr-BE"/>
              </w:rPr>
            </w:pPr>
          </w:p>
          <w:p w14:paraId="72EB1DE2" w14:textId="77777777" w:rsidR="007B01C6" w:rsidRDefault="007B01C6" w:rsidP="009E6F3C">
            <w:pPr>
              <w:pStyle w:val="HeadLevel2NoBoldNums"/>
              <w:rPr>
                <w:lang w:val="fr-BE"/>
              </w:rPr>
            </w:pPr>
          </w:p>
          <w:p w14:paraId="72EB1DE3" w14:textId="77777777" w:rsidR="007B01C6" w:rsidRDefault="007B01C6" w:rsidP="009E6F3C">
            <w:pPr>
              <w:pStyle w:val="HeadLevel2NoBoldNums"/>
              <w:rPr>
                <w:lang w:val="fr-BE"/>
              </w:rPr>
            </w:pPr>
          </w:p>
          <w:p w14:paraId="72EB1DE4" w14:textId="77777777" w:rsidR="007B01C6" w:rsidRDefault="007B01C6" w:rsidP="009E6F3C">
            <w:pPr>
              <w:pStyle w:val="HeadLevel2NoBoldNums"/>
              <w:rPr>
                <w:lang w:val="fr-BE"/>
              </w:rPr>
            </w:pPr>
          </w:p>
          <w:p w14:paraId="72EB1DE5" w14:textId="77777777" w:rsidR="00B832E8" w:rsidRPr="009C5AD9" w:rsidRDefault="00B832E8" w:rsidP="009E6F3C">
            <w:pPr>
              <w:pStyle w:val="HeadLevel2NoBoldNums"/>
              <w:rPr>
                <w:lang w:val="fr-BE"/>
              </w:rPr>
            </w:pPr>
          </w:p>
          <w:p w14:paraId="72EB1DE6" w14:textId="77777777" w:rsidR="00871CB3" w:rsidRPr="009C5AD9" w:rsidRDefault="00871CB3" w:rsidP="009E6F3C">
            <w:pPr>
              <w:pStyle w:val="HeadLevel2NoBoldNums"/>
              <w:rPr>
                <w:lang w:val="fr-BE"/>
              </w:rPr>
            </w:pPr>
          </w:p>
        </w:tc>
      </w:tr>
    </w:tbl>
    <w:p w14:paraId="72EB1DE8" w14:textId="77777777" w:rsidR="00E97554" w:rsidRPr="00530390" w:rsidRDefault="00E97554" w:rsidP="00790E60">
      <w:pPr>
        <w:pStyle w:val="BodyTextWithAbove"/>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985"/>
        <w:gridCol w:w="1984"/>
        <w:gridCol w:w="1560"/>
      </w:tblGrid>
      <w:tr w:rsidR="008C7F24" w:rsidRPr="00691B21" w14:paraId="72EB1DED" w14:textId="77777777" w:rsidTr="005E2072">
        <w:trPr>
          <w:trHeight w:val="353"/>
        </w:trPr>
        <w:tc>
          <w:tcPr>
            <w:tcW w:w="4536" w:type="dxa"/>
            <w:shd w:val="clear" w:color="auto" w:fill="auto"/>
          </w:tcPr>
          <w:p w14:paraId="72EB1DE9" w14:textId="77777777" w:rsidR="008C7F24" w:rsidRPr="00D56952" w:rsidRDefault="008C7F24" w:rsidP="005E2072">
            <w:pPr>
              <w:pStyle w:val="Vrijevorm"/>
              <w:tabs>
                <w:tab w:val="left" w:pos="7920"/>
              </w:tabs>
              <w:spacing w:before="60" w:after="60"/>
              <w:rPr>
                <w:rFonts w:ascii="Arial" w:hAnsi="Arial" w:cs="Arial"/>
                <w:color w:val="auto"/>
                <w:sz w:val="20"/>
                <w:lang w:val="fr-BE"/>
              </w:rPr>
            </w:pPr>
            <w:r w:rsidRPr="00D56952">
              <w:rPr>
                <w:rFonts w:ascii="Arial" w:hAnsi="Arial" w:cs="Arial"/>
                <w:color w:val="auto"/>
                <w:sz w:val="20"/>
                <w:lang w:val="fr-BE"/>
              </w:rPr>
              <w:t>Préparé par</w:t>
            </w:r>
          </w:p>
        </w:tc>
        <w:tc>
          <w:tcPr>
            <w:tcW w:w="1985" w:type="dxa"/>
            <w:shd w:val="clear" w:color="auto" w:fill="auto"/>
          </w:tcPr>
          <w:p w14:paraId="72EB1DEA" w14:textId="77777777" w:rsidR="008C7F24" w:rsidRPr="00D56952" w:rsidRDefault="008C7F24" w:rsidP="005E2072">
            <w:pPr>
              <w:pStyle w:val="Vrijevorm"/>
              <w:tabs>
                <w:tab w:val="left" w:pos="7920"/>
              </w:tabs>
              <w:spacing w:before="60" w:after="60"/>
              <w:rPr>
                <w:rFonts w:ascii="Arial" w:hAnsi="Arial" w:cs="Arial"/>
                <w:color w:val="auto"/>
                <w:sz w:val="20"/>
                <w:lang w:val="fr-BE"/>
              </w:rPr>
            </w:pPr>
          </w:p>
        </w:tc>
        <w:tc>
          <w:tcPr>
            <w:tcW w:w="1984" w:type="dxa"/>
            <w:shd w:val="clear" w:color="auto" w:fill="auto"/>
          </w:tcPr>
          <w:p w14:paraId="72EB1DEB" w14:textId="77777777" w:rsidR="008C7F24" w:rsidRPr="00D56952" w:rsidRDefault="008C7F24" w:rsidP="005E2072">
            <w:pPr>
              <w:pStyle w:val="Vrijevorm"/>
              <w:tabs>
                <w:tab w:val="left" w:pos="7920"/>
              </w:tabs>
              <w:spacing w:before="60" w:after="60"/>
              <w:rPr>
                <w:rFonts w:ascii="Arial" w:hAnsi="Arial" w:cs="Arial"/>
                <w:color w:val="auto"/>
                <w:sz w:val="20"/>
                <w:lang w:val="fr-BE"/>
              </w:rPr>
            </w:pPr>
            <w:r w:rsidRPr="00D56952">
              <w:rPr>
                <w:rFonts w:ascii="Arial" w:hAnsi="Arial" w:cs="Arial"/>
                <w:color w:val="auto"/>
                <w:sz w:val="20"/>
                <w:lang w:val="fr-BE"/>
              </w:rPr>
              <w:t>Date</w:t>
            </w:r>
          </w:p>
        </w:tc>
        <w:tc>
          <w:tcPr>
            <w:tcW w:w="1560" w:type="dxa"/>
            <w:shd w:val="clear" w:color="auto" w:fill="auto"/>
          </w:tcPr>
          <w:p w14:paraId="72EB1DEC" w14:textId="77777777" w:rsidR="008C7F24" w:rsidRPr="00D56952" w:rsidRDefault="008C7F24" w:rsidP="005E2072">
            <w:pPr>
              <w:pStyle w:val="Vrijevorm"/>
              <w:tabs>
                <w:tab w:val="left" w:pos="7920"/>
              </w:tabs>
              <w:spacing w:before="60" w:after="60"/>
              <w:rPr>
                <w:rFonts w:ascii="Arial" w:hAnsi="Arial" w:cs="Arial"/>
                <w:color w:val="auto"/>
                <w:sz w:val="20"/>
                <w:lang w:val="fr-BE"/>
              </w:rPr>
            </w:pPr>
          </w:p>
        </w:tc>
      </w:tr>
      <w:tr w:rsidR="008C7F24" w:rsidRPr="00691B21" w14:paraId="72EB1DF2" w14:textId="77777777" w:rsidTr="005E2072">
        <w:trPr>
          <w:trHeight w:val="352"/>
        </w:trPr>
        <w:tc>
          <w:tcPr>
            <w:tcW w:w="4536" w:type="dxa"/>
            <w:shd w:val="clear" w:color="auto" w:fill="auto"/>
          </w:tcPr>
          <w:p w14:paraId="72EB1DEE" w14:textId="77777777" w:rsidR="008C7F24" w:rsidRPr="00D56952" w:rsidRDefault="008C7F24" w:rsidP="005E2072">
            <w:pPr>
              <w:pStyle w:val="Vrijevorm"/>
              <w:tabs>
                <w:tab w:val="left" w:pos="7920"/>
              </w:tabs>
              <w:spacing w:before="60" w:after="60"/>
              <w:rPr>
                <w:rFonts w:ascii="Arial" w:hAnsi="Arial" w:cs="Arial"/>
                <w:color w:val="auto"/>
                <w:sz w:val="20"/>
                <w:lang w:val="fr-BE"/>
              </w:rPr>
            </w:pPr>
            <w:r w:rsidRPr="00D56952">
              <w:rPr>
                <w:rFonts w:ascii="Arial" w:hAnsi="Arial" w:cs="Arial"/>
                <w:color w:val="auto"/>
                <w:sz w:val="20"/>
                <w:lang w:val="fr-BE"/>
              </w:rPr>
              <w:t>Revu par l’associé responsable de la mission</w:t>
            </w:r>
          </w:p>
        </w:tc>
        <w:tc>
          <w:tcPr>
            <w:tcW w:w="1985" w:type="dxa"/>
            <w:shd w:val="clear" w:color="auto" w:fill="auto"/>
          </w:tcPr>
          <w:p w14:paraId="72EB1DEF" w14:textId="77777777" w:rsidR="008C7F24" w:rsidRPr="00D56952" w:rsidRDefault="008C7F24" w:rsidP="005E2072">
            <w:pPr>
              <w:pStyle w:val="Vrijevorm"/>
              <w:tabs>
                <w:tab w:val="left" w:pos="7920"/>
              </w:tabs>
              <w:spacing w:before="60" w:after="60"/>
              <w:rPr>
                <w:rFonts w:ascii="Arial" w:hAnsi="Arial" w:cs="Arial"/>
                <w:color w:val="auto"/>
                <w:sz w:val="20"/>
                <w:lang w:val="fr-BE"/>
              </w:rPr>
            </w:pPr>
          </w:p>
        </w:tc>
        <w:tc>
          <w:tcPr>
            <w:tcW w:w="1984" w:type="dxa"/>
            <w:shd w:val="clear" w:color="auto" w:fill="auto"/>
          </w:tcPr>
          <w:p w14:paraId="72EB1DF0" w14:textId="77777777" w:rsidR="008C7F24" w:rsidRPr="00D56952" w:rsidRDefault="008C7F24" w:rsidP="005E2072">
            <w:pPr>
              <w:pStyle w:val="Vrijevorm"/>
              <w:tabs>
                <w:tab w:val="left" w:pos="7920"/>
              </w:tabs>
              <w:spacing w:before="60" w:after="60"/>
              <w:rPr>
                <w:rFonts w:ascii="Arial" w:hAnsi="Arial" w:cs="Arial"/>
                <w:color w:val="auto"/>
                <w:sz w:val="20"/>
                <w:lang w:val="fr-BE"/>
              </w:rPr>
            </w:pPr>
            <w:r w:rsidRPr="00D56952">
              <w:rPr>
                <w:rFonts w:ascii="Arial" w:hAnsi="Arial" w:cs="Arial"/>
                <w:color w:val="auto"/>
                <w:sz w:val="20"/>
                <w:lang w:val="fr-BE"/>
              </w:rPr>
              <w:t>Date</w:t>
            </w:r>
          </w:p>
        </w:tc>
        <w:tc>
          <w:tcPr>
            <w:tcW w:w="1560" w:type="dxa"/>
            <w:shd w:val="clear" w:color="auto" w:fill="auto"/>
          </w:tcPr>
          <w:p w14:paraId="72EB1DF1" w14:textId="77777777" w:rsidR="008C7F24" w:rsidRPr="00D56952" w:rsidRDefault="008C7F24" w:rsidP="005E2072">
            <w:pPr>
              <w:pStyle w:val="Vrijevorm"/>
              <w:tabs>
                <w:tab w:val="left" w:pos="7920"/>
              </w:tabs>
              <w:spacing w:before="60" w:after="60"/>
              <w:rPr>
                <w:rFonts w:ascii="Arial" w:hAnsi="Arial" w:cs="Arial"/>
                <w:color w:val="auto"/>
                <w:sz w:val="20"/>
                <w:lang w:val="fr-BE"/>
              </w:rPr>
            </w:pPr>
          </w:p>
        </w:tc>
      </w:tr>
      <w:tr w:rsidR="008C7F24" w:rsidRPr="00D56952" w14:paraId="72EB1DF7" w14:textId="77777777" w:rsidTr="005E2072">
        <w:trPr>
          <w:trHeight w:val="352"/>
        </w:trPr>
        <w:tc>
          <w:tcPr>
            <w:tcW w:w="4536" w:type="dxa"/>
            <w:shd w:val="clear" w:color="auto" w:fill="auto"/>
          </w:tcPr>
          <w:p w14:paraId="72EB1DF3" w14:textId="77777777" w:rsidR="008C7F24" w:rsidRPr="00D56952" w:rsidRDefault="008C7F24" w:rsidP="005E2072">
            <w:pPr>
              <w:pStyle w:val="Vrijevorm"/>
              <w:tabs>
                <w:tab w:val="left" w:pos="7920"/>
              </w:tabs>
              <w:spacing w:before="60" w:after="60"/>
              <w:rPr>
                <w:rFonts w:ascii="Arial" w:hAnsi="Arial" w:cs="Arial"/>
                <w:color w:val="auto"/>
                <w:sz w:val="20"/>
                <w:lang w:val="fr-BE"/>
              </w:rPr>
            </w:pPr>
            <w:r w:rsidRPr="00D56952">
              <w:rPr>
                <w:rFonts w:ascii="Arial" w:hAnsi="Arial" w:cs="Arial"/>
                <w:color w:val="auto"/>
                <w:sz w:val="20"/>
                <w:lang w:val="fr-BE"/>
              </w:rPr>
              <w:t xml:space="preserve">Revu par le responsable contrôle qualité </w:t>
            </w:r>
          </w:p>
        </w:tc>
        <w:tc>
          <w:tcPr>
            <w:tcW w:w="1985" w:type="dxa"/>
            <w:shd w:val="clear" w:color="auto" w:fill="auto"/>
          </w:tcPr>
          <w:p w14:paraId="72EB1DF4" w14:textId="77777777" w:rsidR="008C7F24" w:rsidRPr="00D56952" w:rsidRDefault="008C7F24" w:rsidP="005E2072">
            <w:pPr>
              <w:pStyle w:val="Vrijevorm"/>
              <w:tabs>
                <w:tab w:val="left" w:pos="7920"/>
              </w:tabs>
              <w:spacing w:before="60" w:after="60"/>
              <w:rPr>
                <w:rFonts w:ascii="Arial" w:hAnsi="Arial" w:cs="Arial"/>
                <w:color w:val="auto"/>
                <w:sz w:val="20"/>
                <w:lang w:val="fr-BE"/>
              </w:rPr>
            </w:pPr>
          </w:p>
        </w:tc>
        <w:tc>
          <w:tcPr>
            <w:tcW w:w="1984" w:type="dxa"/>
            <w:shd w:val="clear" w:color="auto" w:fill="auto"/>
          </w:tcPr>
          <w:p w14:paraId="72EB1DF5" w14:textId="77777777" w:rsidR="008C7F24" w:rsidRPr="00D56952" w:rsidRDefault="008C7F24" w:rsidP="005E2072">
            <w:pPr>
              <w:pStyle w:val="Vrijevorm"/>
              <w:tabs>
                <w:tab w:val="left" w:pos="7920"/>
              </w:tabs>
              <w:spacing w:before="60" w:after="60"/>
              <w:rPr>
                <w:rFonts w:ascii="Arial" w:hAnsi="Arial" w:cs="Arial"/>
                <w:color w:val="auto"/>
                <w:sz w:val="20"/>
                <w:lang w:val="fr-BE"/>
              </w:rPr>
            </w:pPr>
            <w:r>
              <w:rPr>
                <w:rFonts w:ascii="Arial" w:hAnsi="Arial" w:cs="Arial"/>
                <w:color w:val="auto"/>
                <w:sz w:val="20"/>
                <w:lang w:val="fr-BE"/>
              </w:rPr>
              <w:t>Date</w:t>
            </w:r>
          </w:p>
        </w:tc>
        <w:tc>
          <w:tcPr>
            <w:tcW w:w="1560" w:type="dxa"/>
            <w:shd w:val="clear" w:color="auto" w:fill="auto"/>
          </w:tcPr>
          <w:p w14:paraId="72EB1DF6" w14:textId="77777777" w:rsidR="008C7F24" w:rsidRPr="00D56952" w:rsidRDefault="008C7F24" w:rsidP="005E2072">
            <w:pPr>
              <w:pStyle w:val="Vrijevorm"/>
              <w:tabs>
                <w:tab w:val="left" w:pos="7920"/>
              </w:tabs>
              <w:spacing w:before="60" w:after="60"/>
              <w:rPr>
                <w:rFonts w:ascii="Arial" w:hAnsi="Arial" w:cs="Arial"/>
                <w:color w:val="auto"/>
                <w:sz w:val="20"/>
                <w:lang w:val="fr-BE"/>
              </w:rPr>
            </w:pPr>
          </w:p>
        </w:tc>
      </w:tr>
    </w:tbl>
    <w:p w14:paraId="72EB1DF8" w14:textId="77777777" w:rsidR="00035CC7" w:rsidRPr="007961FB" w:rsidRDefault="00035CC7" w:rsidP="00873041">
      <w:pPr>
        <w:pStyle w:val="HeadLevel1"/>
        <w:rPr>
          <w:rFonts w:ascii="Arial" w:hAnsi="Arial" w:cs="Arial"/>
          <w:lang w:val="fr-BE"/>
        </w:rPr>
      </w:pPr>
    </w:p>
    <w:sectPr w:rsidR="00035CC7" w:rsidRPr="007961FB" w:rsidSect="00E96825">
      <w:headerReference w:type="even" r:id="rId12"/>
      <w:headerReference w:type="default" r:id="rId13"/>
      <w:footerReference w:type="even" r:id="rId14"/>
      <w:footerReference w:type="default" r:id="rId15"/>
      <w:headerReference w:type="first" r:id="rId16"/>
      <w:footerReference w:type="first" r:id="rId17"/>
      <w:pgSz w:w="12240" w:h="15840" w:code="1"/>
      <w:pgMar w:top="115" w:right="936" w:bottom="426" w:left="1224" w:header="720" w:footer="72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230">
      <wne:acd wne:acdName="acd0"/>
    </wne:keymap>
  </wne:keymaps>
  <wne:toolbars>
    <wne:acdManifest>
      <wne:acdEntry wne:acdName="acd0"/>
    </wne:acdManifest>
  </wne:toolbars>
  <wne:acds>
    <wne:acd wne:argValue="AgBfAEIAdQBsAGwAZQB0AF8ATABlAHYAZQBsADE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1DFB" w14:textId="77777777" w:rsidR="00293F71" w:rsidRDefault="00293F71">
      <w:r>
        <w:separator/>
      </w:r>
    </w:p>
  </w:endnote>
  <w:endnote w:type="continuationSeparator" w:id="0">
    <w:p w14:paraId="72EB1DFC" w14:textId="77777777" w:rsidR="00293F71" w:rsidRDefault="0029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1DFE" w14:textId="77777777" w:rsidR="00293F71" w:rsidRDefault="00293F71" w:rsidP="00ED701C">
    <w:pPr>
      <w:framePr w:wrap="around" w:vAnchor="text" w:hAnchor="margin" w:xAlign="right" w:y="1"/>
    </w:pPr>
    <w:r>
      <w:fldChar w:fldCharType="begin"/>
    </w:r>
    <w:r>
      <w:instrText xml:space="preserve">PAGE  </w:instrText>
    </w:r>
    <w:r>
      <w:fldChar w:fldCharType="end"/>
    </w:r>
  </w:p>
  <w:p w14:paraId="72EB1DFF" w14:textId="77777777" w:rsidR="00293F71" w:rsidRDefault="00293F71" w:rsidP="00684D1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1E00" w14:textId="77777777" w:rsidR="00293F71" w:rsidRPr="00F722C6" w:rsidRDefault="00293F71" w:rsidP="008C7F24">
    <w:pPr>
      <w:jc w:val="right"/>
      <w:rPr>
        <w:rStyle w:val="PageNumber"/>
        <w:rFonts w:ascii="Arial" w:hAnsi="Arial" w:cs="Arial"/>
        <w:sz w:val="18"/>
        <w:szCs w:val="18"/>
      </w:rPr>
    </w:pPr>
    <w:r w:rsidRPr="00F722C6">
      <w:rPr>
        <w:rStyle w:val="PageNumber"/>
        <w:rFonts w:ascii="Arial" w:hAnsi="Arial" w:cs="Arial"/>
        <w:sz w:val="18"/>
        <w:szCs w:val="18"/>
      </w:rPr>
      <w:fldChar w:fldCharType="begin"/>
    </w:r>
    <w:r w:rsidRPr="00F722C6">
      <w:rPr>
        <w:rStyle w:val="PageNumber"/>
        <w:rFonts w:ascii="Arial" w:hAnsi="Arial" w:cs="Arial"/>
        <w:sz w:val="18"/>
        <w:szCs w:val="18"/>
      </w:rPr>
      <w:instrText xml:space="preserve"> PAGE </w:instrText>
    </w:r>
    <w:r w:rsidRPr="00F722C6">
      <w:rPr>
        <w:rStyle w:val="PageNumber"/>
        <w:rFonts w:ascii="Arial" w:hAnsi="Arial" w:cs="Arial"/>
        <w:sz w:val="18"/>
        <w:szCs w:val="18"/>
      </w:rPr>
      <w:fldChar w:fldCharType="separate"/>
    </w:r>
    <w:r w:rsidR="00BB029B">
      <w:rPr>
        <w:rStyle w:val="PageNumber"/>
        <w:rFonts w:ascii="Arial" w:hAnsi="Arial" w:cs="Arial"/>
        <w:noProof/>
        <w:sz w:val="18"/>
        <w:szCs w:val="18"/>
      </w:rPr>
      <w:t>5</w:t>
    </w:r>
    <w:r w:rsidRPr="00F722C6">
      <w:rPr>
        <w:rStyle w:val="PageNumber"/>
        <w:rFonts w:ascii="Arial" w:hAnsi="Arial" w:cs="Arial"/>
        <w:sz w:val="18"/>
        <w:szCs w:val="18"/>
      </w:rPr>
      <w:fldChar w:fldCharType="end"/>
    </w:r>
    <w:r w:rsidRPr="00F722C6">
      <w:rPr>
        <w:rStyle w:val="PageNumber"/>
        <w:rFonts w:ascii="Arial" w:hAnsi="Arial" w:cs="Arial"/>
        <w:sz w:val="18"/>
        <w:szCs w:val="18"/>
      </w:rPr>
      <w:t>/</w:t>
    </w:r>
    <w:r w:rsidRPr="00F722C6">
      <w:rPr>
        <w:rStyle w:val="PageNumber"/>
        <w:rFonts w:ascii="Arial" w:hAnsi="Arial" w:cs="Arial"/>
        <w:sz w:val="18"/>
        <w:szCs w:val="18"/>
      </w:rPr>
      <w:fldChar w:fldCharType="begin"/>
    </w:r>
    <w:r w:rsidRPr="00F722C6">
      <w:rPr>
        <w:rStyle w:val="PageNumber"/>
        <w:rFonts w:ascii="Arial" w:hAnsi="Arial" w:cs="Arial"/>
        <w:sz w:val="18"/>
        <w:szCs w:val="18"/>
      </w:rPr>
      <w:instrText xml:space="preserve"> NUMPAGES </w:instrText>
    </w:r>
    <w:r w:rsidRPr="00F722C6">
      <w:rPr>
        <w:rStyle w:val="PageNumber"/>
        <w:rFonts w:ascii="Arial" w:hAnsi="Arial" w:cs="Arial"/>
        <w:sz w:val="18"/>
        <w:szCs w:val="18"/>
      </w:rPr>
      <w:fldChar w:fldCharType="separate"/>
    </w:r>
    <w:r w:rsidR="00BB029B">
      <w:rPr>
        <w:rStyle w:val="PageNumber"/>
        <w:rFonts w:ascii="Arial" w:hAnsi="Arial" w:cs="Arial"/>
        <w:noProof/>
        <w:sz w:val="18"/>
        <w:szCs w:val="18"/>
      </w:rPr>
      <w:t>5</w:t>
    </w:r>
    <w:r w:rsidRPr="00F722C6">
      <w:rPr>
        <w:rStyle w:val="PageNumber"/>
        <w:rFonts w:ascii="Arial" w:hAnsi="Arial" w:cs="Arial"/>
        <w:sz w:val="18"/>
        <w:szCs w:val="18"/>
      </w:rPr>
      <w:fldChar w:fldCharType="end"/>
    </w:r>
  </w:p>
  <w:p w14:paraId="72EB1E01" w14:textId="77777777" w:rsidR="00293F71" w:rsidRPr="00284C8A" w:rsidRDefault="00293F71" w:rsidP="00EC1BCD">
    <w:pPr>
      <w:pStyle w:val="Footer"/>
      <w:tabs>
        <w:tab w:val="clear" w:pos="4320"/>
        <w:tab w:val="clear" w:pos="8640"/>
        <w:tab w:val="right" w:pos="10080"/>
      </w:tabs>
      <w:rPr>
        <w:rFonts w:ascii="Trebuchet MS" w:hAnsi="Trebuchet M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8A1A" w14:textId="77777777" w:rsidR="00461856" w:rsidRDefault="00461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B1DF9" w14:textId="77777777" w:rsidR="00293F71" w:rsidRDefault="00293F71">
      <w:r>
        <w:separator/>
      </w:r>
    </w:p>
  </w:footnote>
  <w:footnote w:type="continuationSeparator" w:id="0">
    <w:p w14:paraId="72EB1DFA" w14:textId="77777777" w:rsidR="00293F71" w:rsidRDefault="00293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C5D3" w14:textId="77777777" w:rsidR="00461856" w:rsidRDefault="00461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ABC6" w14:textId="77777777" w:rsidR="00842030" w:rsidRDefault="00293F71" w:rsidP="0090469A">
    <w:pPr>
      <w:tabs>
        <w:tab w:val="left" w:pos="6690"/>
      </w:tabs>
      <w:rPr>
        <w:rFonts w:ascii="Arial" w:hAnsi="Arial" w:cs="Arial"/>
        <w:b/>
        <w:sz w:val="24"/>
        <w:szCs w:val="24"/>
        <w:lang w:val="fr-BE"/>
      </w:rPr>
    </w:pPr>
    <w:r w:rsidRPr="0090469A">
      <w:rPr>
        <w:rFonts w:ascii="Arial" w:hAnsi="Arial" w:cs="Arial"/>
        <w:b/>
        <w:sz w:val="24"/>
        <w:szCs w:val="24"/>
        <w:lang w:val="fr-BE"/>
      </w:rPr>
      <w:t>Check-list C2 –</w:t>
    </w:r>
    <w:r>
      <w:rPr>
        <w:rFonts w:ascii="Arial" w:hAnsi="Arial" w:cs="Arial"/>
        <w:b/>
        <w:sz w:val="24"/>
        <w:szCs w:val="24"/>
        <w:lang w:val="fr-BE"/>
      </w:rPr>
      <w:t xml:space="preserve"> </w:t>
    </w:r>
    <w:r w:rsidRPr="0090469A">
      <w:rPr>
        <w:rFonts w:ascii="Arial" w:hAnsi="Arial" w:cs="Arial"/>
        <w:b/>
        <w:sz w:val="24"/>
        <w:szCs w:val="24"/>
        <w:lang w:val="fr-BE"/>
      </w:rPr>
      <w:t>Continuité d’exploitation</w:t>
    </w:r>
  </w:p>
  <w:p w14:paraId="72EB1DFD" w14:textId="23FA8A14" w:rsidR="00293F71" w:rsidRPr="00842030" w:rsidRDefault="00461856" w:rsidP="00842030">
    <w:pPr>
      <w:rPr>
        <w:rStyle w:val="PageNumber"/>
        <w:rFonts w:ascii="Arial" w:hAnsi="Arial" w:cs="Arial"/>
        <w:b/>
        <w:bCs/>
        <w:i/>
        <w:iCs/>
        <w:color w:val="FF0000"/>
        <w:lang w:val="fr-FR"/>
      </w:rPr>
    </w:pPr>
    <w:r w:rsidRPr="00461856">
      <w:rPr>
        <w:rFonts w:ascii="Arial" w:hAnsi="Arial" w:cs="Arial"/>
        <w:b/>
        <w:bCs/>
        <w:i/>
        <w:iCs/>
        <w:color w:val="FF0000"/>
        <w:lang w:val="fr-BE"/>
      </w:rPr>
      <w:t>Attention, un nouvel outil a été développé par le GT ISA en 2021-2022 à ce sujet. Veuillez consulter l’outil correspondant sur  la page suivante:</w:t>
    </w:r>
    <w:r w:rsidR="00842030" w:rsidRPr="003A70AF">
      <w:rPr>
        <w:rFonts w:ascii="Arial" w:hAnsi="Arial" w:cs="Arial"/>
        <w:b/>
        <w:bCs/>
        <w:i/>
        <w:iCs/>
        <w:color w:val="FF0000"/>
        <w:lang w:val="fr-BE"/>
      </w:rPr>
      <w:t xml:space="preserve">: </w:t>
    </w:r>
    <w:hyperlink r:id="rId1" w:history="1">
      <w:r w:rsidR="00842030" w:rsidRPr="003A70AF">
        <w:rPr>
          <w:rStyle w:val="Hyperlink"/>
          <w:rFonts w:ascii="Arial" w:hAnsi="Arial" w:cs="Arial"/>
          <w:b/>
          <w:bCs/>
          <w:i/>
          <w:iCs/>
          <w:color w:val="FF0000"/>
          <w:lang w:val="fr-BE"/>
        </w:rPr>
        <w:t>https://www.icci.be/fr/publications-et-outils/mod-les-de-documents/mod-les-de-documents-detail-page/outils-pour-un-audit-isa-efficient1</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DA72" w14:textId="77777777" w:rsidR="00461856" w:rsidRDefault="00461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F2E"/>
    <w:multiLevelType w:val="hybridMultilevel"/>
    <w:tmpl w:val="4344EC6A"/>
    <w:lvl w:ilvl="0" w:tplc="3C643142">
      <w:start w:val="1"/>
      <w:numFmt w:val="bullet"/>
      <w:pStyle w:val="BulletLevel2"/>
      <w:lvlText w:val=""/>
      <w:lvlJc w:val="left"/>
      <w:pPr>
        <w:tabs>
          <w:tab w:val="num" w:pos="1152"/>
        </w:tabs>
        <w:ind w:left="115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BB3CB2"/>
    <w:multiLevelType w:val="hybridMultilevel"/>
    <w:tmpl w:val="7604EB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94F52"/>
    <w:multiLevelType w:val="hybridMultilevel"/>
    <w:tmpl w:val="988479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27333"/>
    <w:multiLevelType w:val="hybridMultilevel"/>
    <w:tmpl w:val="D88AA5C4"/>
    <w:lvl w:ilvl="0" w:tplc="CC80DDE4">
      <w:start w:val="7"/>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EB4F3D"/>
    <w:multiLevelType w:val="hybridMultilevel"/>
    <w:tmpl w:val="F0EC1D88"/>
    <w:lvl w:ilvl="0" w:tplc="49FC9D86">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5D3915"/>
    <w:multiLevelType w:val="hybridMultilevel"/>
    <w:tmpl w:val="597077C2"/>
    <w:lvl w:ilvl="0" w:tplc="C004E772">
      <w:start w:val="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A1619F"/>
    <w:multiLevelType w:val="hybridMultilevel"/>
    <w:tmpl w:val="6562C0A8"/>
    <w:lvl w:ilvl="0" w:tplc="694C19F8">
      <w:start w:val="1"/>
      <w:numFmt w:val="lowerLetter"/>
      <w:pStyle w:val="PEMbullet2numa-b-c"/>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1C1041"/>
    <w:multiLevelType w:val="hybridMultilevel"/>
    <w:tmpl w:val="6ED20B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B7D76"/>
    <w:multiLevelType w:val="hybridMultilevel"/>
    <w:tmpl w:val="D9284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C05EA"/>
    <w:multiLevelType w:val="hybridMultilevel"/>
    <w:tmpl w:val="A1F476DC"/>
    <w:lvl w:ilvl="0" w:tplc="5412BD8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4159E7"/>
    <w:multiLevelType w:val="hybridMultilevel"/>
    <w:tmpl w:val="CF38334A"/>
    <w:lvl w:ilvl="0" w:tplc="EE828C4C">
      <w:start w:val="4"/>
      <w:numFmt w:val="decimal"/>
      <w:lvlText w:val="%1."/>
      <w:lvlJc w:val="left"/>
      <w:pPr>
        <w:ind w:left="360" w:hanging="360"/>
      </w:pPr>
      <w:rPr>
        <w:rFonts w:hint="default"/>
        <w:b w:val="0"/>
        <w:lang w:val="fr-B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4704D4"/>
    <w:multiLevelType w:val="hybridMultilevel"/>
    <w:tmpl w:val="5006566E"/>
    <w:lvl w:ilvl="0" w:tplc="407E95EA">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877A5E"/>
    <w:multiLevelType w:val="hybridMultilevel"/>
    <w:tmpl w:val="9ABE19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83DEE"/>
    <w:multiLevelType w:val="hybridMultilevel"/>
    <w:tmpl w:val="9ABE19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81795"/>
    <w:multiLevelType w:val="hybridMultilevel"/>
    <w:tmpl w:val="05B43EE2"/>
    <w:lvl w:ilvl="0" w:tplc="BC28D136">
      <w:start w:val="8"/>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EF2725"/>
    <w:multiLevelType w:val="hybridMultilevel"/>
    <w:tmpl w:val="D9284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33224"/>
    <w:multiLevelType w:val="hybridMultilevel"/>
    <w:tmpl w:val="7604EB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264250"/>
    <w:multiLevelType w:val="hybridMultilevel"/>
    <w:tmpl w:val="6ED20B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72D0B"/>
    <w:multiLevelType w:val="hybridMultilevel"/>
    <w:tmpl w:val="A178E90C"/>
    <w:lvl w:ilvl="0" w:tplc="1B4802EA">
      <w:start w:val="10"/>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8769DB"/>
    <w:multiLevelType w:val="hybridMultilevel"/>
    <w:tmpl w:val="77487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F86F52"/>
    <w:multiLevelType w:val="hybridMultilevel"/>
    <w:tmpl w:val="77487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6B6771"/>
    <w:multiLevelType w:val="hybridMultilevel"/>
    <w:tmpl w:val="2988BDA0"/>
    <w:lvl w:ilvl="0" w:tplc="60C246E8">
      <w:start w:val="18"/>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FA0B6D"/>
    <w:multiLevelType w:val="hybridMultilevel"/>
    <w:tmpl w:val="2988BDA0"/>
    <w:lvl w:ilvl="0" w:tplc="60C246E8">
      <w:start w:val="18"/>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73B4B"/>
    <w:multiLevelType w:val="hybridMultilevel"/>
    <w:tmpl w:val="3844090C"/>
    <w:lvl w:ilvl="0" w:tplc="6D143878">
      <w:start w:val="1"/>
      <w:numFmt w:val="decimal"/>
      <w:pStyle w:val="PEMbullet1num1-2-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9262EE"/>
    <w:multiLevelType w:val="hybridMultilevel"/>
    <w:tmpl w:val="400EC242"/>
    <w:lvl w:ilvl="0" w:tplc="06BE166E">
      <w:start w:val="1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6B596E"/>
    <w:multiLevelType w:val="hybridMultilevel"/>
    <w:tmpl w:val="B9DCC284"/>
    <w:lvl w:ilvl="0" w:tplc="FA0AEF24">
      <w:start w:val="1"/>
      <w:numFmt w:val="bullet"/>
      <w:pStyle w:val="PEMbullet1-dash"/>
      <w:lvlText w:val="—"/>
      <w:lvlJc w:val="left"/>
      <w:pPr>
        <w:tabs>
          <w:tab w:val="num" w:pos="360"/>
        </w:tabs>
        <w:ind w:left="360" w:hanging="360"/>
      </w:pPr>
      <w:rPr>
        <w:rFonts w:ascii="Palatino Linotype" w:hAnsi="Palatino Linotype"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3B62CE"/>
    <w:multiLevelType w:val="hybridMultilevel"/>
    <w:tmpl w:val="098CBEBC"/>
    <w:lvl w:ilvl="0" w:tplc="AA948DA2">
      <w:start w:val="1"/>
      <w:numFmt w:val="bullet"/>
      <w:pStyle w:val="PEMbullet1-do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174FCC"/>
    <w:multiLevelType w:val="hybridMultilevel"/>
    <w:tmpl w:val="C9348BFA"/>
    <w:lvl w:ilvl="0" w:tplc="932A3C6A">
      <w:start w:val="1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B250A7"/>
    <w:multiLevelType w:val="hybridMultilevel"/>
    <w:tmpl w:val="C35ADFE4"/>
    <w:lvl w:ilvl="0" w:tplc="D000365C">
      <w:start w:val="6"/>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E43418"/>
    <w:multiLevelType w:val="hybridMultilevel"/>
    <w:tmpl w:val="BD481794"/>
    <w:lvl w:ilvl="0" w:tplc="D90C2D4E">
      <w:start w:val="1"/>
      <w:numFmt w:val="lowerLetter"/>
      <w:pStyle w:val="PEMbullet1numa-b-c"/>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7488426">
    <w:abstractNumId w:val="26"/>
  </w:num>
  <w:num w:numId="2" w16cid:durableId="229121227">
    <w:abstractNumId w:val="0"/>
  </w:num>
  <w:num w:numId="3" w16cid:durableId="394206083">
    <w:abstractNumId w:val="25"/>
  </w:num>
  <w:num w:numId="4" w16cid:durableId="1929659287">
    <w:abstractNumId w:val="6"/>
  </w:num>
  <w:num w:numId="5" w16cid:durableId="106168352">
    <w:abstractNumId w:val="23"/>
  </w:num>
  <w:num w:numId="6" w16cid:durableId="912203059">
    <w:abstractNumId w:val="29"/>
  </w:num>
  <w:num w:numId="7" w16cid:durableId="368646553">
    <w:abstractNumId w:val="9"/>
    <w:lvlOverride w:ilvl="0">
      <w:startOverride w:val="1"/>
    </w:lvlOverride>
  </w:num>
  <w:num w:numId="8" w16cid:durableId="1468279556">
    <w:abstractNumId w:val="22"/>
  </w:num>
  <w:num w:numId="9" w16cid:durableId="642738627">
    <w:abstractNumId w:val="11"/>
  </w:num>
  <w:num w:numId="10" w16cid:durableId="1566598865">
    <w:abstractNumId w:val="4"/>
  </w:num>
  <w:num w:numId="11" w16cid:durableId="420566289">
    <w:abstractNumId w:val="10"/>
  </w:num>
  <w:num w:numId="12" w16cid:durableId="196547662">
    <w:abstractNumId w:val="19"/>
  </w:num>
  <w:num w:numId="13" w16cid:durableId="197595468">
    <w:abstractNumId w:val="5"/>
  </w:num>
  <w:num w:numId="14" w16cid:durableId="1821530756">
    <w:abstractNumId w:val="1"/>
  </w:num>
  <w:num w:numId="15" w16cid:durableId="1031959167">
    <w:abstractNumId w:val="28"/>
  </w:num>
  <w:num w:numId="16" w16cid:durableId="1454514225">
    <w:abstractNumId w:val="12"/>
  </w:num>
  <w:num w:numId="17" w16cid:durableId="689912806">
    <w:abstractNumId w:val="3"/>
  </w:num>
  <w:num w:numId="18" w16cid:durableId="1378553347">
    <w:abstractNumId w:val="2"/>
  </w:num>
  <w:num w:numId="19" w16cid:durableId="2070880230">
    <w:abstractNumId w:val="14"/>
  </w:num>
  <w:num w:numId="20" w16cid:durableId="442968107">
    <w:abstractNumId w:val="18"/>
  </w:num>
  <w:num w:numId="21" w16cid:durableId="1328435856">
    <w:abstractNumId w:val="7"/>
  </w:num>
  <w:num w:numId="22" w16cid:durableId="1551499673">
    <w:abstractNumId w:val="24"/>
  </w:num>
  <w:num w:numId="23" w16cid:durableId="598758589">
    <w:abstractNumId w:val="27"/>
  </w:num>
  <w:num w:numId="24" w16cid:durableId="795103507">
    <w:abstractNumId w:val="15"/>
  </w:num>
  <w:num w:numId="25" w16cid:durableId="532309454">
    <w:abstractNumId w:val="21"/>
  </w:num>
  <w:num w:numId="26" w16cid:durableId="1742562528">
    <w:abstractNumId w:val="20"/>
  </w:num>
  <w:num w:numId="27" w16cid:durableId="901213349">
    <w:abstractNumId w:val="16"/>
  </w:num>
  <w:num w:numId="28" w16cid:durableId="1222138114">
    <w:abstractNumId w:val="13"/>
  </w:num>
  <w:num w:numId="29" w16cid:durableId="573706513">
    <w:abstractNumId w:val="17"/>
  </w:num>
  <w:num w:numId="30" w16cid:durableId="1174151696">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502F"/>
    <w:rsid w:val="0000502C"/>
    <w:rsid w:val="00005E8D"/>
    <w:rsid w:val="0002339A"/>
    <w:rsid w:val="00035CC7"/>
    <w:rsid w:val="00041637"/>
    <w:rsid w:val="00052162"/>
    <w:rsid w:val="00073C8F"/>
    <w:rsid w:val="0007450B"/>
    <w:rsid w:val="000749B4"/>
    <w:rsid w:val="00086203"/>
    <w:rsid w:val="00094EF5"/>
    <w:rsid w:val="00095D12"/>
    <w:rsid w:val="000A22C9"/>
    <w:rsid w:val="000A34D6"/>
    <w:rsid w:val="000A4169"/>
    <w:rsid w:val="000A5C15"/>
    <w:rsid w:val="000A6F9E"/>
    <w:rsid w:val="000A7371"/>
    <w:rsid w:val="000B58A8"/>
    <w:rsid w:val="000D1196"/>
    <w:rsid w:val="000D5352"/>
    <w:rsid w:val="000E553A"/>
    <w:rsid w:val="000E77B0"/>
    <w:rsid w:val="000F114A"/>
    <w:rsid w:val="000F259A"/>
    <w:rsid w:val="000F5500"/>
    <w:rsid w:val="000F5886"/>
    <w:rsid w:val="0010576B"/>
    <w:rsid w:val="00106C4D"/>
    <w:rsid w:val="00111EE1"/>
    <w:rsid w:val="00112849"/>
    <w:rsid w:val="00121625"/>
    <w:rsid w:val="00136EB9"/>
    <w:rsid w:val="00141D13"/>
    <w:rsid w:val="001570CF"/>
    <w:rsid w:val="001571BA"/>
    <w:rsid w:val="00161553"/>
    <w:rsid w:val="0017432D"/>
    <w:rsid w:val="00187803"/>
    <w:rsid w:val="00197AA2"/>
    <w:rsid w:val="001A3CDE"/>
    <w:rsid w:val="001B09C0"/>
    <w:rsid w:val="001B62B8"/>
    <w:rsid w:val="001C1227"/>
    <w:rsid w:val="001C22B2"/>
    <w:rsid w:val="001C2CBE"/>
    <w:rsid w:val="001D4854"/>
    <w:rsid w:val="001E0EBE"/>
    <w:rsid w:val="001F74AC"/>
    <w:rsid w:val="00211A1E"/>
    <w:rsid w:val="00217CE3"/>
    <w:rsid w:val="0022734E"/>
    <w:rsid w:val="002305F0"/>
    <w:rsid w:val="00236505"/>
    <w:rsid w:val="0024217E"/>
    <w:rsid w:val="00244F68"/>
    <w:rsid w:val="00247F93"/>
    <w:rsid w:val="002565D8"/>
    <w:rsid w:val="00265BCC"/>
    <w:rsid w:val="00272214"/>
    <w:rsid w:val="00273C38"/>
    <w:rsid w:val="0027763C"/>
    <w:rsid w:val="00284C8A"/>
    <w:rsid w:val="00291B1D"/>
    <w:rsid w:val="00293F71"/>
    <w:rsid w:val="002B4454"/>
    <w:rsid w:val="002C1262"/>
    <w:rsid w:val="002D2A39"/>
    <w:rsid w:val="002D4AC6"/>
    <w:rsid w:val="002E30A5"/>
    <w:rsid w:val="002E5290"/>
    <w:rsid w:val="00331E2A"/>
    <w:rsid w:val="00341A4E"/>
    <w:rsid w:val="00342977"/>
    <w:rsid w:val="003440AE"/>
    <w:rsid w:val="00350DCE"/>
    <w:rsid w:val="00354919"/>
    <w:rsid w:val="0036511C"/>
    <w:rsid w:val="003811C5"/>
    <w:rsid w:val="00381C22"/>
    <w:rsid w:val="003827E1"/>
    <w:rsid w:val="00382CFA"/>
    <w:rsid w:val="00383812"/>
    <w:rsid w:val="00395529"/>
    <w:rsid w:val="003A0EBF"/>
    <w:rsid w:val="003A3D31"/>
    <w:rsid w:val="003A673F"/>
    <w:rsid w:val="003A7895"/>
    <w:rsid w:val="003B7C44"/>
    <w:rsid w:val="003D655B"/>
    <w:rsid w:val="00400150"/>
    <w:rsid w:val="0040704C"/>
    <w:rsid w:val="00412D08"/>
    <w:rsid w:val="004148EB"/>
    <w:rsid w:val="00433104"/>
    <w:rsid w:val="00434BE6"/>
    <w:rsid w:val="00444355"/>
    <w:rsid w:val="00450874"/>
    <w:rsid w:val="00453BDA"/>
    <w:rsid w:val="00461856"/>
    <w:rsid w:val="00462D4D"/>
    <w:rsid w:val="00470CBC"/>
    <w:rsid w:val="00481233"/>
    <w:rsid w:val="004814A4"/>
    <w:rsid w:val="004A727D"/>
    <w:rsid w:val="004B6E81"/>
    <w:rsid w:val="004B776D"/>
    <w:rsid w:val="004D5A00"/>
    <w:rsid w:val="00500305"/>
    <w:rsid w:val="005079E1"/>
    <w:rsid w:val="005152F9"/>
    <w:rsid w:val="00524ACA"/>
    <w:rsid w:val="00530390"/>
    <w:rsid w:val="00532035"/>
    <w:rsid w:val="00532712"/>
    <w:rsid w:val="00533749"/>
    <w:rsid w:val="00533CD0"/>
    <w:rsid w:val="005502EF"/>
    <w:rsid w:val="005534EC"/>
    <w:rsid w:val="00570B66"/>
    <w:rsid w:val="00572524"/>
    <w:rsid w:val="005746F8"/>
    <w:rsid w:val="00576EF8"/>
    <w:rsid w:val="00581F69"/>
    <w:rsid w:val="00586AE0"/>
    <w:rsid w:val="00587B0F"/>
    <w:rsid w:val="005B7977"/>
    <w:rsid w:val="005C095A"/>
    <w:rsid w:val="005C0C23"/>
    <w:rsid w:val="005C135B"/>
    <w:rsid w:val="005C5956"/>
    <w:rsid w:val="005D30FA"/>
    <w:rsid w:val="005E2072"/>
    <w:rsid w:val="00600473"/>
    <w:rsid w:val="00602588"/>
    <w:rsid w:val="00613E01"/>
    <w:rsid w:val="00630D28"/>
    <w:rsid w:val="00635943"/>
    <w:rsid w:val="00642958"/>
    <w:rsid w:val="0064602F"/>
    <w:rsid w:val="00650AEA"/>
    <w:rsid w:val="00652938"/>
    <w:rsid w:val="006531C8"/>
    <w:rsid w:val="0067138F"/>
    <w:rsid w:val="00676064"/>
    <w:rsid w:val="00684D1B"/>
    <w:rsid w:val="00685951"/>
    <w:rsid w:val="006928B2"/>
    <w:rsid w:val="006A16DE"/>
    <w:rsid w:val="006A270B"/>
    <w:rsid w:val="006B09AC"/>
    <w:rsid w:val="006D7CEB"/>
    <w:rsid w:val="006E4F80"/>
    <w:rsid w:val="006F101B"/>
    <w:rsid w:val="006F73DD"/>
    <w:rsid w:val="00700997"/>
    <w:rsid w:val="0070127A"/>
    <w:rsid w:val="00701B40"/>
    <w:rsid w:val="00705F51"/>
    <w:rsid w:val="00730652"/>
    <w:rsid w:val="007344A6"/>
    <w:rsid w:val="00737844"/>
    <w:rsid w:val="00746C65"/>
    <w:rsid w:val="00746C98"/>
    <w:rsid w:val="00746D32"/>
    <w:rsid w:val="00767AB4"/>
    <w:rsid w:val="0077405D"/>
    <w:rsid w:val="00781C75"/>
    <w:rsid w:val="00782630"/>
    <w:rsid w:val="0078573A"/>
    <w:rsid w:val="00787158"/>
    <w:rsid w:val="00790E60"/>
    <w:rsid w:val="00791C4A"/>
    <w:rsid w:val="00792371"/>
    <w:rsid w:val="007961FB"/>
    <w:rsid w:val="007B01C6"/>
    <w:rsid w:val="007B2D63"/>
    <w:rsid w:val="007B3C9D"/>
    <w:rsid w:val="007B4815"/>
    <w:rsid w:val="007B5D6C"/>
    <w:rsid w:val="007C6896"/>
    <w:rsid w:val="007D1FBE"/>
    <w:rsid w:val="007E4C81"/>
    <w:rsid w:val="007F0E78"/>
    <w:rsid w:val="00810D84"/>
    <w:rsid w:val="00812C22"/>
    <w:rsid w:val="00820064"/>
    <w:rsid w:val="00821306"/>
    <w:rsid w:val="00821992"/>
    <w:rsid w:val="00822BCA"/>
    <w:rsid w:val="00823ADC"/>
    <w:rsid w:val="00834635"/>
    <w:rsid w:val="00836BE9"/>
    <w:rsid w:val="00842030"/>
    <w:rsid w:val="0086114F"/>
    <w:rsid w:val="00871CB3"/>
    <w:rsid w:val="00873041"/>
    <w:rsid w:val="008906D3"/>
    <w:rsid w:val="00894C74"/>
    <w:rsid w:val="008A531D"/>
    <w:rsid w:val="008B03FC"/>
    <w:rsid w:val="008B4255"/>
    <w:rsid w:val="008B5D09"/>
    <w:rsid w:val="008B7F70"/>
    <w:rsid w:val="008C3D64"/>
    <w:rsid w:val="008C7F24"/>
    <w:rsid w:val="008D232A"/>
    <w:rsid w:val="008D475C"/>
    <w:rsid w:val="008D4CEF"/>
    <w:rsid w:val="008F63A8"/>
    <w:rsid w:val="0090469A"/>
    <w:rsid w:val="00910BDE"/>
    <w:rsid w:val="00913D6D"/>
    <w:rsid w:val="009252D2"/>
    <w:rsid w:val="00926949"/>
    <w:rsid w:val="00927D9C"/>
    <w:rsid w:val="00930FA9"/>
    <w:rsid w:val="0093502F"/>
    <w:rsid w:val="009351DC"/>
    <w:rsid w:val="009415F5"/>
    <w:rsid w:val="00951C59"/>
    <w:rsid w:val="00952FC3"/>
    <w:rsid w:val="00955D1F"/>
    <w:rsid w:val="00964012"/>
    <w:rsid w:val="00967A70"/>
    <w:rsid w:val="00973086"/>
    <w:rsid w:val="0097482A"/>
    <w:rsid w:val="00981E0C"/>
    <w:rsid w:val="009918FF"/>
    <w:rsid w:val="00994FC3"/>
    <w:rsid w:val="009A5B6F"/>
    <w:rsid w:val="009B5B44"/>
    <w:rsid w:val="009B6149"/>
    <w:rsid w:val="009C1901"/>
    <w:rsid w:val="009C5AD9"/>
    <w:rsid w:val="009C7E19"/>
    <w:rsid w:val="009D01B8"/>
    <w:rsid w:val="009E6F3C"/>
    <w:rsid w:val="00A03E7E"/>
    <w:rsid w:val="00A1365B"/>
    <w:rsid w:val="00A16BE8"/>
    <w:rsid w:val="00A17401"/>
    <w:rsid w:val="00A26624"/>
    <w:rsid w:val="00A2724F"/>
    <w:rsid w:val="00A275AC"/>
    <w:rsid w:val="00A30746"/>
    <w:rsid w:val="00A323A9"/>
    <w:rsid w:val="00A32B50"/>
    <w:rsid w:val="00A42A25"/>
    <w:rsid w:val="00A43B19"/>
    <w:rsid w:val="00A47C47"/>
    <w:rsid w:val="00A565A6"/>
    <w:rsid w:val="00A60D06"/>
    <w:rsid w:val="00A6495A"/>
    <w:rsid w:val="00A653DF"/>
    <w:rsid w:val="00A67A72"/>
    <w:rsid w:val="00A70E4C"/>
    <w:rsid w:val="00A7207D"/>
    <w:rsid w:val="00A72A77"/>
    <w:rsid w:val="00A83EA7"/>
    <w:rsid w:val="00A91E10"/>
    <w:rsid w:val="00A973E7"/>
    <w:rsid w:val="00AA056E"/>
    <w:rsid w:val="00AA7B14"/>
    <w:rsid w:val="00AB22C8"/>
    <w:rsid w:val="00AB54FE"/>
    <w:rsid w:val="00AC119B"/>
    <w:rsid w:val="00AC2EF4"/>
    <w:rsid w:val="00AD7748"/>
    <w:rsid w:val="00AE6870"/>
    <w:rsid w:val="00AF6507"/>
    <w:rsid w:val="00B00872"/>
    <w:rsid w:val="00B014C5"/>
    <w:rsid w:val="00B1130E"/>
    <w:rsid w:val="00B249E4"/>
    <w:rsid w:val="00B25B10"/>
    <w:rsid w:val="00B27479"/>
    <w:rsid w:val="00B2782D"/>
    <w:rsid w:val="00B3010F"/>
    <w:rsid w:val="00B32C67"/>
    <w:rsid w:val="00B3384D"/>
    <w:rsid w:val="00B33DEF"/>
    <w:rsid w:val="00B40D25"/>
    <w:rsid w:val="00B62739"/>
    <w:rsid w:val="00B744EA"/>
    <w:rsid w:val="00B76B5D"/>
    <w:rsid w:val="00B77485"/>
    <w:rsid w:val="00B832E8"/>
    <w:rsid w:val="00B87B93"/>
    <w:rsid w:val="00B96AFF"/>
    <w:rsid w:val="00BA18AA"/>
    <w:rsid w:val="00BA5B7C"/>
    <w:rsid w:val="00BA72A5"/>
    <w:rsid w:val="00BB029B"/>
    <w:rsid w:val="00BC3976"/>
    <w:rsid w:val="00BD5169"/>
    <w:rsid w:val="00BE2257"/>
    <w:rsid w:val="00BE2BB7"/>
    <w:rsid w:val="00BF0DE0"/>
    <w:rsid w:val="00BF7E68"/>
    <w:rsid w:val="00C14A24"/>
    <w:rsid w:val="00C14B8F"/>
    <w:rsid w:val="00C21A30"/>
    <w:rsid w:val="00C25314"/>
    <w:rsid w:val="00C34C77"/>
    <w:rsid w:val="00C36189"/>
    <w:rsid w:val="00C47062"/>
    <w:rsid w:val="00C50E00"/>
    <w:rsid w:val="00C51779"/>
    <w:rsid w:val="00C52B1F"/>
    <w:rsid w:val="00C70163"/>
    <w:rsid w:val="00C711E6"/>
    <w:rsid w:val="00C84828"/>
    <w:rsid w:val="00C96124"/>
    <w:rsid w:val="00CA0534"/>
    <w:rsid w:val="00CA1D1D"/>
    <w:rsid w:val="00CA4834"/>
    <w:rsid w:val="00CD00A0"/>
    <w:rsid w:val="00CD02F6"/>
    <w:rsid w:val="00CD179F"/>
    <w:rsid w:val="00CD44B0"/>
    <w:rsid w:val="00CE48CA"/>
    <w:rsid w:val="00CE786F"/>
    <w:rsid w:val="00CF6606"/>
    <w:rsid w:val="00CF6E3F"/>
    <w:rsid w:val="00D07399"/>
    <w:rsid w:val="00D20905"/>
    <w:rsid w:val="00D224A0"/>
    <w:rsid w:val="00D24C36"/>
    <w:rsid w:val="00D25D7C"/>
    <w:rsid w:val="00D266A5"/>
    <w:rsid w:val="00D31C85"/>
    <w:rsid w:val="00D43C9D"/>
    <w:rsid w:val="00D521BB"/>
    <w:rsid w:val="00D53A49"/>
    <w:rsid w:val="00D56952"/>
    <w:rsid w:val="00D61857"/>
    <w:rsid w:val="00D776D7"/>
    <w:rsid w:val="00D836D8"/>
    <w:rsid w:val="00D96984"/>
    <w:rsid w:val="00DA0627"/>
    <w:rsid w:val="00DA4C56"/>
    <w:rsid w:val="00DB26ED"/>
    <w:rsid w:val="00DB544F"/>
    <w:rsid w:val="00DB55D0"/>
    <w:rsid w:val="00DC244F"/>
    <w:rsid w:val="00DC4A9F"/>
    <w:rsid w:val="00DC7E3E"/>
    <w:rsid w:val="00DF60A9"/>
    <w:rsid w:val="00E03CE2"/>
    <w:rsid w:val="00E05AD4"/>
    <w:rsid w:val="00E15117"/>
    <w:rsid w:val="00E27F7C"/>
    <w:rsid w:val="00E36CE3"/>
    <w:rsid w:val="00E41BA4"/>
    <w:rsid w:val="00E5062D"/>
    <w:rsid w:val="00E5257D"/>
    <w:rsid w:val="00E556F4"/>
    <w:rsid w:val="00E55FF3"/>
    <w:rsid w:val="00E75B61"/>
    <w:rsid w:val="00E82B40"/>
    <w:rsid w:val="00E847FD"/>
    <w:rsid w:val="00E96825"/>
    <w:rsid w:val="00E97554"/>
    <w:rsid w:val="00EA079B"/>
    <w:rsid w:val="00EA7593"/>
    <w:rsid w:val="00EB0663"/>
    <w:rsid w:val="00EC1BCD"/>
    <w:rsid w:val="00EC4164"/>
    <w:rsid w:val="00EC552A"/>
    <w:rsid w:val="00EC6F1A"/>
    <w:rsid w:val="00ED701C"/>
    <w:rsid w:val="00EE003E"/>
    <w:rsid w:val="00EE281F"/>
    <w:rsid w:val="00EE325D"/>
    <w:rsid w:val="00EF0585"/>
    <w:rsid w:val="00EF6429"/>
    <w:rsid w:val="00EF785C"/>
    <w:rsid w:val="00F12E24"/>
    <w:rsid w:val="00F25F74"/>
    <w:rsid w:val="00F3127A"/>
    <w:rsid w:val="00F313E5"/>
    <w:rsid w:val="00F61A53"/>
    <w:rsid w:val="00F624D4"/>
    <w:rsid w:val="00F654C7"/>
    <w:rsid w:val="00F6559E"/>
    <w:rsid w:val="00F663A1"/>
    <w:rsid w:val="00F722C6"/>
    <w:rsid w:val="00F750C5"/>
    <w:rsid w:val="00F8154B"/>
    <w:rsid w:val="00F82C41"/>
    <w:rsid w:val="00F85C68"/>
    <w:rsid w:val="00F90BC7"/>
    <w:rsid w:val="00F94961"/>
    <w:rsid w:val="00FA18D2"/>
    <w:rsid w:val="00FA72A9"/>
    <w:rsid w:val="00FB65C8"/>
    <w:rsid w:val="00FC2795"/>
    <w:rsid w:val="00FC2B39"/>
    <w:rsid w:val="00FC517A"/>
    <w:rsid w:val="00FD25CF"/>
    <w:rsid w:val="00FD3F68"/>
    <w:rsid w:val="00FE0C4C"/>
    <w:rsid w:val="00FE0C99"/>
    <w:rsid w:val="00FF025D"/>
    <w:rsid w:val="00FF1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EB1D14"/>
  <w15:docId w15:val="{9F5DAEDE-795B-4180-B6B5-1BFA6DC6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856"/>
    <w:pPr>
      <w:spacing w:after="160" w:line="259" w:lineRule="auto"/>
    </w:pPr>
    <w:rPr>
      <w:rFonts w:asciiTheme="minorHAnsi" w:eastAsiaTheme="minorHAnsi" w:hAnsiTheme="minorHAnsi" w:cstheme="minorBidi"/>
      <w:sz w:val="22"/>
      <w:szCs w:val="22"/>
      <w:lang w:val="en-BE"/>
    </w:rPr>
  </w:style>
  <w:style w:type="paragraph" w:styleId="Heading1">
    <w:name w:val="heading 1"/>
    <w:basedOn w:val="Normal"/>
    <w:next w:val="Normal"/>
    <w:autoRedefine/>
    <w:qFormat/>
    <w:rsid w:val="00481233"/>
    <w:pPr>
      <w:keepNext/>
      <w:spacing w:after="60"/>
      <w:outlineLvl w:val="0"/>
    </w:pPr>
    <w:rPr>
      <w:rFonts w:ascii="Arial" w:hAnsi="Arial" w:cs="Arial"/>
      <w:b/>
      <w:bCs/>
      <w:kern w:val="32"/>
      <w:sz w:val="32"/>
      <w:szCs w:val="32"/>
    </w:rPr>
  </w:style>
  <w:style w:type="paragraph" w:styleId="Heading3">
    <w:name w:val="heading 3"/>
    <w:basedOn w:val="Normal"/>
    <w:next w:val="Normal"/>
    <w:qFormat/>
    <w:rsid w:val="00481233"/>
    <w:pPr>
      <w:keepNext/>
      <w:spacing w:after="60"/>
      <w:outlineLvl w:val="2"/>
    </w:pPr>
    <w:rPr>
      <w:rFonts w:ascii="Arial" w:hAnsi="Arial" w:cs="Arial"/>
      <w:b/>
      <w:bCs/>
      <w:sz w:val="26"/>
      <w:szCs w:val="26"/>
    </w:rPr>
  </w:style>
  <w:style w:type="character" w:default="1" w:styleId="DefaultParagraphFont">
    <w:name w:val="Default Paragraph Font"/>
    <w:uiPriority w:val="1"/>
    <w:semiHidden/>
    <w:unhideWhenUsed/>
    <w:rsid w:val="004618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1856"/>
  </w:style>
  <w:style w:type="paragraph" w:styleId="BalloonText">
    <w:name w:val="Balloon Text"/>
    <w:basedOn w:val="Normal"/>
    <w:semiHidden/>
    <w:rsid w:val="00481233"/>
    <w:rPr>
      <w:rFonts w:ascii="Tahoma" w:hAnsi="Tahoma" w:cs="Tahoma"/>
      <w:sz w:val="16"/>
      <w:szCs w:val="16"/>
    </w:rPr>
  </w:style>
  <w:style w:type="character" w:styleId="CommentReference">
    <w:name w:val="annotation reference"/>
    <w:semiHidden/>
    <w:rsid w:val="00481233"/>
    <w:rPr>
      <w:sz w:val="16"/>
      <w:szCs w:val="16"/>
    </w:rPr>
  </w:style>
  <w:style w:type="paragraph" w:styleId="CommentText">
    <w:name w:val="annotation text"/>
    <w:basedOn w:val="Normal"/>
    <w:semiHidden/>
    <w:rsid w:val="00481233"/>
    <w:rPr>
      <w:sz w:val="20"/>
    </w:rPr>
  </w:style>
  <w:style w:type="paragraph" w:styleId="CommentSubject">
    <w:name w:val="annotation subject"/>
    <w:basedOn w:val="CommentText"/>
    <w:next w:val="CommentText"/>
    <w:semiHidden/>
    <w:rsid w:val="00481233"/>
    <w:rPr>
      <w:b/>
      <w:bCs/>
    </w:rPr>
  </w:style>
  <w:style w:type="paragraph" w:customStyle="1" w:styleId="BodyTextWithAbove">
    <w:name w:val="_Body_Text_(With_Above)"/>
    <w:link w:val="BodyTextWithAboveChar"/>
    <w:autoRedefine/>
    <w:rsid w:val="00BC3976"/>
    <w:pPr>
      <w:spacing w:before="60" w:after="60"/>
      <w:ind w:left="318"/>
    </w:pPr>
    <w:rPr>
      <w:rFonts w:ascii="Arial" w:hAnsi="Arial" w:cs="Arial"/>
      <w:spacing w:val="-5"/>
    </w:rPr>
  </w:style>
  <w:style w:type="character" w:customStyle="1" w:styleId="BodyTextWithAboveChar">
    <w:name w:val="_Body_Text_(With_Above) Char"/>
    <w:link w:val="BodyTextWithAbove"/>
    <w:rsid w:val="00BC3976"/>
    <w:rPr>
      <w:rFonts w:ascii="Arial" w:hAnsi="Arial" w:cs="Arial"/>
      <w:spacing w:val="-5"/>
    </w:rPr>
  </w:style>
  <w:style w:type="paragraph" w:customStyle="1" w:styleId="BulletLevel1">
    <w:name w:val="_Bullet_Level1"/>
    <w:link w:val="BulletLevel1Char"/>
    <w:autoRedefine/>
    <w:rsid w:val="00481233"/>
    <w:rPr>
      <w:rFonts w:ascii="Trebuchet MS" w:hAnsi="Trebuchet MS"/>
      <w:spacing w:val="-5"/>
      <w:sz w:val="17"/>
    </w:rPr>
  </w:style>
  <w:style w:type="paragraph" w:customStyle="1" w:styleId="ClientInfo">
    <w:name w:val="_Client_Info"/>
    <w:link w:val="ClientInfoCharChar"/>
    <w:autoRedefine/>
    <w:rsid w:val="00481233"/>
    <w:pPr>
      <w:tabs>
        <w:tab w:val="left" w:leader="underscore" w:pos="7920"/>
      </w:tabs>
    </w:pPr>
    <w:rPr>
      <w:rFonts w:ascii="Trebuchet MS" w:hAnsi="Trebuchet MS"/>
      <w:spacing w:val="-5"/>
      <w:sz w:val="17"/>
      <w:szCs w:val="22"/>
    </w:rPr>
  </w:style>
  <w:style w:type="character" w:customStyle="1" w:styleId="ClientInfoCharChar">
    <w:name w:val="_Client_Info Char Char"/>
    <w:link w:val="ClientInfo"/>
    <w:rsid w:val="00481233"/>
    <w:rPr>
      <w:rFonts w:ascii="Trebuchet MS" w:hAnsi="Trebuchet MS"/>
      <w:spacing w:val="-5"/>
      <w:sz w:val="17"/>
      <w:szCs w:val="22"/>
      <w:lang w:val="en-US" w:eastAsia="en-US" w:bidi="ar-SA"/>
    </w:rPr>
  </w:style>
  <w:style w:type="paragraph" w:customStyle="1" w:styleId="HeadLevel1">
    <w:name w:val="_Head_Level1"/>
    <w:link w:val="HeadLevel1CharChar"/>
    <w:autoRedefine/>
    <w:rsid w:val="00E847FD"/>
    <w:rPr>
      <w:rFonts w:ascii="Trebuchet MS" w:hAnsi="Trebuchet MS"/>
      <w:b/>
      <w:spacing w:val="-5"/>
    </w:rPr>
  </w:style>
  <w:style w:type="character" w:customStyle="1" w:styleId="HeadLevel1CharChar">
    <w:name w:val="_Head_Level1 Char Char"/>
    <w:link w:val="HeadLevel1"/>
    <w:rsid w:val="00E847FD"/>
    <w:rPr>
      <w:rFonts w:ascii="Trebuchet MS" w:hAnsi="Trebuchet MS"/>
      <w:b/>
      <w:spacing w:val="-5"/>
    </w:rPr>
  </w:style>
  <w:style w:type="paragraph" w:customStyle="1" w:styleId="HeadLevel2BoldNums">
    <w:name w:val="_Head_Level2_(Bold_Nums)"/>
    <w:link w:val="HeadLevel2BoldNumsChar"/>
    <w:autoRedefine/>
    <w:rsid w:val="00481233"/>
    <w:pPr>
      <w:tabs>
        <w:tab w:val="left" w:pos="360"/>
        <w:tab w:val="left" w:pos="504"/>
      </w:tabs>
      <w:spacing w:line="210" w:lineRule="exact"/>
      <w:ind w:left="360" w:hanging="360"/>
    </w:pPr>
    <w:rPr>
      <w:rFonts w:ascii="Trebuchet MS" w:hAnsi="Trebuchet MS"/>
      <w:b/>
      <w:spacing w:val="-5"/>
      <w:sz w:val="17"/>
      <w:szCs w:val="17"/>
    </w:rPr>
  </w:style>
  <w:style w:type="character" w:customStyle="1" w:styleId="HeadLevel2BoldNumsChar">
    <w:name w:val="_Head_Level2_(Bold_Nums) Char"/>
    <w:link w:val="HeadLevel2BoldNums"/>
    <w:rsid w:val="00481233"/>
    <w:rPr>
      <w:rFonts w:ascii="Trebuchet MS" w:hAnsi="Trebuchet MS"/>
      <w:b/>
      <w:spacing w:val="-5"/>
      <w:sz w:val="17"/>
      <w:szCs w:val="17"/>
      <w:lang w:val="en-US" w:eastAsia="en-US" w:bidi="ar-SA"/>
    </w:rPr>
  </w:style>
  <w:style w:type="paragraph" w:customStyle="1" w:styleId="HeadLevel2NoBoldNums">
    <w:name w:val="_Head_Level2_(NoBold_Nums)"/>
    <w:link w:val="HeadLevel2NoBoldNumsChar"/>
    <w:autoRedefine/>
    <w:rsid w:val="009E6F3C"/>
    <w:pPr>
      <w:spacing w:before="60" w:after="60"/>
      <w:ind w:left="360"/>
      <w:jc w:val="both"/>
    </w:pPr>
    <w:rPr>
      <w:rFonts w:ascii="Arial" w:hAnsi="Arial" w:cs="Arial"/>
      <w:spacing w:val="-5"/>
    </w:rPr>
  </w:style>
  <w:style w:type="character" w:customStyle="1" w:styleId="HeadLevel2NoBoldNumsChar">
    <w:name w:val="_Head_Level2_(NoBold_Nums) Char"/>
    <w:link w:val="HeadLevel2NoBoldNums"/>
    <w:rsid w:val="009E6F3C"/>
    <w:rPr>
      <w:rFonts w:ascii="Arial" w:hAnsi="Arial" w:cs="Arial"/>
      <w:spacing w:val="-5"/>
    </w:rPr>
  </w:style>
  <w:style w:type="paragraph" w:styleId="Header">
    <w:name w:val="header"/>
    <w:aliases w:val="HeaPEM_Header"/>
    <w:link w:val="HeaderChar"/>
    <w:rsid w:val="00481233"/>
    <w:pPr>
      <w:tabs>
        <w:tab w:val="right" w:pos="10800"/>
      </w:tabs>
    </w:pPr>
    <w:rPr>
      <w:rFonts w:ascii="Trebuchet MS" w:hAnsi="Trebuchet MS"/>
      <w:b/>
      <w:spacing w:val="-5"/>
      <w:sz w:val="30"/>
    </w:rPr>
  </w:style>
  <w:style w:type="paragraph" w:customStyle="1" w:styleId="HeaderNumber">
    <w:name w:val="_Header_Number"/>
    <w:link w:val="HeaderNumberChar"/>
    <w:autoRedefine/>
    <w:rsid w:val="00481233"/>
    <w:pPr>
      <w:tabs>
        <w:tab w:val="right" w:pos="10080"/>
      </w:tabs>
    </w:pPr>
    <w:rPr>
      <w:rFonts w:ascii="Trebuchet MS" w:hAnsi="Trebuchet MS"/>
      <w:b/>
      <w:spacing w:val="-5"/>
      <w:sz w:val="36"/>
      <w:szCs w:val="36"/>
    </w:rPr>
  </w:style>
  <w:style w:type="character" w:customStyle="1" w:styleId="CharChar">
    <w:name w:val="Char Char"/>
    <w:rsid w:val="00973086"/>
    <w:rPr>
      <w:rFonts w:ascii="Trebuchet MS" w:hAnsi="Trebuchet MS"/>
      <w:b/>
      <w:spacing w:val="-5"/>
      <w:sz w:val="30"/>
      <w:lang w:val="en-US" w:eastAsia="en-US" w:bidi="ar-SA"/>
    </w:rPr>
  </w:style>
  <w:style w:type="character" w:customStyle="1" w:styleId="HeaderNumberChar">
    <w:name w:val="_Header_Number Char"/>
    <w:link w:val="HeaderNumber"/>
    <w:rsid w:val="00481233"/>
    <w:rPr>
      <w:rFonts w:ascii="Trebuchet MS" w:hAnsi="Trebuchet MS"/>
      <w:b/>
      <w:spacing w:val="-5"/>
      <w:sz w:val="36"/>
      <w:szCs w:val="36"/>
      <w:lang w:val="en-US" w:eastAsia="en-US" w:bidi="ar-SA"/>
    </w:rPr>
  </w:style>
  <w:style w:type="paragraph" w:customStyle="1" w:styleId="HeaderPage">
    <w:name w:val="_Header_Page#"/>
    <w:link w:val="HeaderPageChar"/>
    <w:autoRedefine/>
    <w:rsid w:val="00834635"/>
    <w:pPr>
      <w:tabs>
        <w:tab w:val="left" w:pos="270"/>
        <w:tab w:val="right" w:pos="10080"/>
      </w:tabs>
      <w:spacing w:after="240"/>
    </w:pPr>
    <w:rPr>
      <w:rFonts w:ascii="Arial" w:hAnsi="Arial" w:cs="Arial"/>
      <w:spacing w:val="-5"/>
      <w:sz w:val="30"/>
      <w:szCs w:val="18"/>
      <w:lang w:val="fr-FR"/>
    </w:rPr>
  </w:style>
  <w:style w:type="paragraph" w:customStyle="1" w:styleId="LettersLevel1">
    <w:name w:val="_Letters_Level1"/>
    <w:autoRedefine/>
    <w:rsid w:val="00481233"/>
    <w:pPr>
      <w:ind w:left="360" w:hanging="360"/>
    </w:pPr>
    <w:rPr>
      <w:rFonts w:ascii="Trebuchet MS" w:hAnsi="Trebuchet MS"/>
      <w:spacing w:val="-5"/>
      <w:sz w:val="17"/>
    </w:rPr>
  </w:style>
  <w:style w:type="paragraph" w:customStyle="1" w:styleId="LettersLevel2">
    <w:name w:val="_Letters_Level2"/>
    <w:link w:val="LettersLevel2Char"/>
    <w:autoRedefine/>
    <w:rsid w:val="00EA079B"/>
    <w:pPr>
      <w:spacing w:before="60" w:after="60"/>
      <w:ind w:left="70"/>
      <w:jc w:val="both"/>
    </w:pPr>
    <w:rPr>
      <w:rFonts w:ascii="Trebuchet MS" w:hAnsi="Trebuchet MS"/>
      <w:spacing w:val="-5"/>
      <w:sz w:val="17"/>
    </w:rPr>
  </w:style>
  <w:style w:type="paragraph" w:customStyle="1" w:styleId="Note">
    <w:name w:val="_Note"/>
    <w:autoRedefine/>
    <w:rsid w:val="00B96AFF"/>
    <w:pPr>
      <w:spacing w:before="60" w:after="60"/>
      <w:ind w:right="34"/>
      <w:jc w:val="both"/>
    </w:pPr>
    <w:rPr>
      <w:rFonts w:ascii="Trebuchet MS" w:hAnsi="Trebuchet MS"/>
      <w:spacing w:val="-5"/>
      <w:lang w:val="fr-FR"/>
    </w:rPr>
  </w:style>
  <w:style w:type="paragraph" w:customStyle="1" w:styleId="TableEntryLetters">
    <w:name w:val="_Table_Entry_Letters"/>
    <w:autoRedefine/>
    <w:rsid w:val="00E97554"/>
    <w:pPr>
      <w:spacing w:before="60" w:after="60"/>
      <w:ind w:left="360"/>
    </w:pPr>
    <w:rPr>
      <w:rFonts w:ascii="Arial" w:hAnsi="Arial" w:cs="Arial"/>
      <w:spacing w:val="-5"/>
      <w:lang w:val="fr-BE"/>
    </w:rPr>
  </w:style>
  <w:style w:type="paragraph" w:customStyle="1" w:styleId="TableHeadLevel1">
    <w:name w:val="_Table_Head_Level1"/>
    <w:autoRedefine/>
    <w:rsid w:val="0097482A"/>
    <w:pPr>
      <w:spacing w:before="60" w:after="60"/>
      <w:ind w:left="70" w:right="-72"/>
    </w:pPr>
    <w:rPr>
      <w:rFonts w:ascii="Arial" w:hAnsi="Arial" w:cs="Arial"/>
      <w:spacing w:val="-5"/>
      <w:lang w:val="fr-BE"/>
    </w:rPr>
  </w:style>
  <w:style w:type="paragraph" w:styleId="Footer">
    <w:name w:val="footer"/>
    <w:basedOn w:val="Normal"/>
    <w:rsid w:val="00481233"/>
    <w:pPr>
      <w:tabs>
        <w:tab w:val="center" w:pos="4320"/>
        <w:tab w:val="right" w:pos="8640"/>
      </w:tabs>
    </w:pPr>
  </w:style>
  <w:style w:type="table" w:styleId="TableGrid">
    <w:name w:val="Table Grid"/>
    <w:basedOn w:val="TableNormal"/>
    <w:rsid w:val="00481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81233"/>
  </w:style>
  <w:style w:type="character" w:customStyle="1" w:styleId="HeaderPageChar">
    <w:name w:val="_Header_Page# Char"/>
    <w:link w:val="HeaderPage"/>
    <w:rsid w:val="00834635"/>
    <w:rPr>
      <w:rFonts w:ascii="Arial" w:hAnsi="Arial" w:cs="Arial"/>
      <w:spacing w:val="-5"/>
      <w:sz w:val="30"/>
      <w:szCs w:val="18"/>
      <w:lang w:val="fr-FR"/>
    </w:rPr>
  </w:style>
  <w:style w:type="character" w:customStyle="1" w:styleId="LettersLevel2Char">
    <w:name w:val="_Letters_Level2 Char"/>
    <w:link w:val="LettersLevel2"/>
    <w:rsid w:val="00EA079B"/>
    <w:rPr>
      <w:rFonts w:ascii="Trebuchet MS" w:hAnsi="Trebuchet MS"/>
      <w:spacing w:val="-5"/>
      <w:sz w:val="17"/>
    </w:rPr>
  </w:style>
  <w:style w:type="paragraph" w:customStyle="1" w:styleId="BulletLevel2">
    <w:name w:val="_Bullet_Level2"/>
    <w:autoRedefine/>
    <w:rsid w:val="00481233"/>
    <w:pPr>
      <w:numPr>
        <w:numId w:val="2"/>
      </w:numPr>
    </w:pPr>
    <w:rPr>
      <w:rFonts w:ascii="Trebuchet MS" w:hAnsi="Trebuchet MS"/>
      <w:spacing w:val="-5"/>
      <w:sz w:val="17"/>
    </w:rPr>
  </w:style>
  <w:style w:type="paragraph" w:customStyle="1" w:styleId="StyleBulletLevel1Bold">
    <w:name w:val="Style _Bullet_Level1 + Bold"/>
    <w:basedOn w:val="BulletLevel1"/>
    <w:link w:val="StyleBulletLevel1BoldChar"/>
    <w:rsid w:val="00E41BA4"/>
    <w:pPr>
      <w:spacing w:before="240" w:after="60"/>
    </w:pPr>
    <w:rPr>
      <w:b/>
      <w:bCs/>
    </w:rPr>
  </w:style>
  <w:style w:type="character" w:customStyle="1" w:styleId="BulletLevel1Char">
    <w:name w:val="_Bullet_Level1 Char"/>
    <w:link w:val="BulletLevel1"/>
    <w:rsid w:val="00E41BA4"/>
    <w:rPr>
      <w:rFonts w:ascii="Trebuchet MS" w:hAnsi="Trebuchet MS"/>
      <w:spacing w:val="-5"/>
      <w:sz w:val="17"/>
      <w:lang w:val="en-US" w:eastAsia="en-US" w:bidi="ar-SA"/>
    </w:rPr>
  </w:style>
  <w:style w:type="character" w:customStyle="1" w:styleId="StyleBulletLevel1BoldChar">
    <w:name w:val="Style _Bullet_Level1 + Bold Char"/>
    <w:link w:val="StyleBulletLevel1Bold"/>
    <w:rsid w:val="00E41BA4"/>
    <w:rPr>
      <w:rFonts w:ascii="Trebuchet MS" w:hAnsi="Trebuchet MS"/>
      <w:b/>
      <w:bCs/>
      <w:spacing w:val="-5"/>
      <w:sz w:val="17"/>
      <w:lang w:val="en-US" w:eastAsia="en-US" w:bidi="ar-SA"/>
    </w:rPr>
  </w:style>
  <w:style w:type="paragraph" w:customStyle="1" w:styleId="PEMIndnt1">
    <w:name w:val="PEM_Indnt1"/>
    <w:link w:val="PEMIndnt1CharChar"/>
    <w:rsid w:val="00481233"/>
    <w:pPr>
      <w:ind w:left="360" w:hanging="360"/>
    </w:pPr>
    <w:rPr>
      <w:rFonts w:ascii="Trebuchet MS" w:hAnsi="Trebuchet MS"/>
      <w:spacing w:val="-5"/>
      <w:sz w:val="17"/>
      <w:szCs w:val="17"/>
    </w:rPr>
  </w:style>
  <w:style w:type="character" w:customStyle="1" w:styleId="PEMIndnt1CharChar">
    <w:name w:val="PEM_Indnt1 Char Char"/>
    <w:basedOn w:val="HeadLevel2BoldNumsChar"/>
    <w:link w:val="PEMIndnt1"/>
    <w:rsid w:val="00481233"/>
    <w:rPr>
      <w:rFonts w:ascii="Trebuchet MS" w:hAnsi="Trebuchet MS"/>
      <w:b/>
      <w:spacing w:val="-5"/>
      <w:sz w:val="17"/>
      <w:szCs w:val="17"/>
      <w:lang w:val="en-US" w:eastAsia="en-US" w:bidi="ar-SA"/>
    </w:rPr>
  </w:style>
  <w:style w:type="character" w:customStyle="1" w:styleId="HeaderChar">
    <w:name w:val="Header Char"/>
    <w:aliases w:val="HeaPEM_Header Char"/>
    <w:link w:val="Header"/>
    <w:rsid w:val="00481233"/>
    <w:rPr>
      <w:rFonts w:ascii="Trebuchet MS" w:hAnsi="Trebuchet MS"/>
      <w:b/>
      <w:spacing w:val="-5"/>
      <w:sz w:val="30"/>
      <w:lang w:val="en-US" w:eastAsia="en-US" w:bidi="ar-SA"/>
    </w:rPr>
  </w:style>
  <w:style w:type="paragraph" w:customStyle="1" w:styleId="PEMheader-pageXofX">
    <w:name w:val="PEM_header-pageXofX"/>
    <w:link w:val="PEMheader-pageXofXCharChar"/>
    <w:autoRedefine/>
    <w:rsid w:val="00481233"/>
    <w:pPr>
      <w:tabs>
        <w:tab w:val="right" w:pos="10080"/>
      </w:tabs>
      <w:spacing w:after="240"/>
    </w:pPr>
    <w:rPr>
      <w:rFonts w:ascii="Trebuchet MS" w:hAnsi="Trebuchet MS"/>
      <w:spacing w:val="-5"/>
      <w:sz w:val="18"/>
      <w:szCs w:val="18"/>
    </w:rPr>
  </w:style>
  <w:style w:type="paragraph" w:customStyle="1" w:styleId="PEMIndnt2">
    <w:name w:val="PEM_Indnt2"/>
    <w:basedOn w:val="PEMIndnt1"/>
    <w:link w:val="PEMIndnt2CharChar"/>
    <w:rsid w:val="00481233"/>
    <w:pPr>
      <w:ind w:left="720"/>
    </w:pPr>
  </w:style>
  <w:style w:type="paragraph" w:customStyle="1" w:styleId="PEMTableHead1">
    <w:name w:val="PEM_Table_Head1"/>
    <w:rsid w:val="00481233"/>
    <w:rPr>
      <w:rFonts w:ascii="Trebuchet MS" w:hAnsi="Trebuchet MS"/>
      <w:b/>
      <w:spacing w:val="-5"/>
      <w:sz w:val="17"/>
      <w:szCs w:val="16"/>
    </w:rPr>
  </w:style>
  <w:style w:type="character" w:customStyle="1" w:styleId="PEMheader-pageXofXCharChar">
    <w:name w:val="PEM_header-pageXofX Char Char"/>
    <w:link w:val="PEMheader-pageXofX"/>
    <w:rsid w:val="00481233"/>
    <w:rPr>
      <w:rFonts w:ascii="Trebuchet MS" w:hAnsi="Trebuchet MS"/>
      <w:b/>
      <w:spacing w:val="-5"/>
      <w:sz w:val="18"/>
      <w:szCs w:val="18"/>
      <w:lang w:val="en-US" w:eastAsia="en-US" w:bidi="ar-SA"/>
    </w:rPr>
  </w:style>
  <w:style w:type="character" w:customStyle="1" w:styleId="PEMIndnt2CharChar">
    <w:name w:val="PEM_Indnt2 Char Char"/>
    <w:link w:val="PEMIndnt2"/>
    <w:rsid w:val="00481233"/>
    <w:rPr>
      <w:rFonts w:ascii="Trebuchet MS" w:hAnsi="Trebuchet MS"/>
      <w:spacing w:val="-5"/>
      <w:sz w:val="17"/>
      <w:szCs w:val="17"/>
      <w:lang w:val="en-US" w:eastAsia="en-US" w:bidi="ar-SA"/>
    </w:rPr>
  </w:style>
  <w:style w:type="paragraph" w:customStyle="1" w:styleId="PEMheader">
    <w:name w:val="PEM_header"/>
    <w:rsid w:val="00481233"/>
    <w:pPr>
      <w:tabs>
        <w:tab w:val="right" w:pos="10080"/>
      </w:tabs>
    </w:pPr>
    <w:rPr>
      <w:rFonts w:ascii="Trebuchet MS" w:hAnsi="Trebuchet MS"/>
      <w:spacing w:val="-5"/>
      <w:sz w:val="30"/>
    </w:rPr>
  </w:style>
  <w:style w:type="character" w:customStyle="1" w:styleId="PEMheader-FormNo">
    <w:name w:val="PEM_header-Form No."/>
    <w:rsid w:val="00481233"/>
    <w:rPr>
      <w:rFonts w:ascii="Trebuchet MS" w:hAnsi="Trebuchet MS"/>
      <w:b/>
      <w:color w:val="auto"/>
      <w:sz w:val="36"/>
      <w:szCs w:val="36"/>
    </w:rPr>
  </w:style>
  <w:style w:type="paragraph" w:customStyle="1" w:styleId="PEMNormal">
    <w:name w:val="PEM_Normal"/>
    <w:rsid w:val="00481233"/>
    <w:pPr>
      <w:spacing w:before="170"/>
    </w:pPr>
    <w:rPr>
      <w:rFonts w:ascii="Trebuchet MS" w:hAnsi="Trebuchet MS"/>
      <w:spacing w:val="-5"/>
      <w:sz w:val="17"/>
    </w:rPr>
  </w:style>
  <w:style w:type="paragraph" w:customStyle="1" w:styleId="PEMbullet3-dot">
    <w:name w:val="PEM_bullet3-dot"/>
    <w:basedOn w:val="PEMbullet1-dot"/>
    <w:rsid w:val="00481233"/>
    <w:pPr>
      <w:ind w:left="1080"/>
    </w:pPr>
  </w:style>
  <w:style w:type="paragraph" w:customStyle="1" w:styleId="PEMfooter">
    <w:name w:val="PEM_footer"/>
    <w:rsid w:val="00481233"/>
    <w:pPr>
      <w:tabs>
        <w:tab w:val="right" w:pos="10080"/>
      </w:tabs>
    </w:pPr>
    <w:rPr>
      <w:rFonts w:ascii="Trebuchet MS" w:hAnsi="Trebuchet MS"/>
      <w:spacing w:val="-5"/>
      <w:sz w:val="16"/>
      <w:szCs w:val="16"/>
    </w:rPr>
  </w:style>
  <w:style w:type="paragraph" w:customStyle="1" w:styleId="PEMbullet1-dot">
    <w:name w:val="PEM_bullet1-dot"/>
    <w:rsid w:val="00481233"/>
    <w:pPr>
      <w:numPr>
        <w:numId w:val="1"/>
      </w:numPr>
    </w:pPr>
    <w:rPr>
      <w:rFonts w:ascii="Trebuchet MS" w:hAnsi="Trebuchet MS"/>
      <w:spacing w:val="-5"/>
      <w:sz w:val="17"/>
    </w:rPr>
  </w:style>
  <w:style w:type="paragraph" w:customStyle="1" w:styleId="PEMbullet2-dot">
    <w:name w:val="PEM_bullet2-dot"/>
    <w:basedOn w:val="PEMbullet1-dot"/>
    <w:rsid w:val="00481233"/>
    <w:pPr>
      <w:ind w:left="720"/>
    </w:pPr>
  </w:style>
  <w:style w:type="paragraph" w:customStyle="1" w:styleId="PEMIndnt3">
    <w:name w:val="PEM_Indnt3"/>
    <w:basedOn w:val="PEMIndnt1"/>
    <w:rsid w:val="00481233"/>
    <w:pPr>
      <w:ind w:left="1080"/>
    </w:pPr>
  </w:style>
  <w:style w:type="paragraph" w:customStyle="1" w:styleId="PEMbullet1-dash">
    <w:name w:val="PEM_bullet1-dash"/>
    <w:rsid w:val="00481233"/>
    <w:pPr>
      <w:numPr>
        <w:numId w:val="3"/>
      </w:numPr>
    </w:pPr>
    <w:rPr>
      <w:rFonts w:ascii="Trebuchet MS" w:hAnsi="Trebuchet MS"/>
      <w:spacing w:val="-5"/>
      <w:sz w:val="17"/>
    </w:rPr>
  </w:style>
  <w:style w:type="paragraph" w:customStyle="1" w:styleId="PEMbullet2-dash">
    <w:name w:val="PEM_bullet2-dash"/>
    <w:basedOn w:val="PEMbullet1-dash"/>
    <w:rsid w:val="00481233"/>
    <w:pPr>
      <w:ind w:left="720"/>
    </w:pPr>
  </w:style>
  <w:style w:type="paragraph" w:customStyle="1" w:styleId="PEMbullet3-dash">
    <w:name w:val="PEM_bullet3-dash"/>
    <w:basedOn w:val="PEMbullet2-dash"/>
    <w:rsid w:val="00481233"/>
    <w:pPr>
      <w:ind w:left="1080"/>
    </w:pPr>
  </w:style>
  <w:style w:type="paragraph" w:customStyle="1" w:styleId="PEMbullet1num1-2-3">
    <w:name w:val="PEM_bullet1_num_1-2-3"/>
    <w:rsid w:val="00481233"/>
    <w:pPr>
      <w:numPr>
        <w:numId w:val="5"/>
      </w:numPr>
    </w:pPr>
    <w:rPr>
      <w:rFonts w:ascii="Trebuchet MS" w:hAnsi="Trebuchet MS"/>
      <w:spacing w:val="-5"/>
      <w:sz w:val="17"/>
      <w:szCs w:val="17"/>
    </w:rPr>
  </w:style>
  <w:style w:type="paragraph" w:customStyle="1" w:styleId="PEMbullet2numa-b-c">
    <w:name w:val="PEM_bullet2_num_a)-b)-c)"/>
    <w:basedOn w:val="PEMbullet1num1-2-3"/>
    <w:rsid w:val="00481233"/>
    <w:pPr>
      <w:numPr>
        <w:numId w:val="4"/>
      </w:numPr>
    </w:pPr>
  </w:style>
  <w:style w:type="paragraph" w:customStyle="1" w:styleId="PEMNormalpara1">
    <w:name w:val="PEM_Normal para1"/>
    <w:basedOn w:val="PEMNormal"/>
    <w:rsid w:val="00481233"/>
    <w:pPr>
      <w:spacing w:before="0"/>
    </w:pPr>
  </w:style>
  <w:style w:type="paragraph" w:customStyle="1" w:styleId="PEMbullet2numa-b-cabv">
    <w:name w:val="PEM_bullet2_num_a)-b)-c) abv"/>
    <w:basedOn w:val="PEMbullet2numa-b-c"/>
    <w:rsid w:val="00481233"/>
    <w:pPr>
      <w:spacing w:before="170"/>
    </w:pPr>
  </w:style>
  <w:style w:type="paragraph" w:customStyle="1" w:styleId="PEMbullet1num1-2-3abv">
    <w:name w:val="PEM_bullet1_num_1-2-3 abv"/>
    <w:basedOn w:val="PEMbullet1num1-2-3"/>
    <w:rsid w:val="00481233"/>
    <w:pPr>
      <w:spacing w:before="170"/>
    </w:pPr>
  </w:style>
  <w:style w:type="paragraph" w:customStyle="1" w:styleId="PEMbullet1-dashabv">
    <w:name w:val="PEM_bullet1-dash abv"/>
    <w:basedOn w:val="PEMbullet1-dash"/>
    <w:rsid w:val="00481233"/>
    <w:pPr>
      <w:spacing w:before="170"/>
    </w:pPr>
  </w:style>
  <w:style w:type="paragraph" w:customStyle="1" w:styleId="PEMbullet1-dotabv">
    <w:name w:val="PEM_bullet1-dot abv"/>
    <w:basedOn w:val="PEMbullet1-dot"/>
    <w:rsid w:val="00481233"/>
    <w:pPr>
      <w:spacing w:before="170"/>
    </w:pPr>
  </w:style>
  <w:style w:type="paragraph" w:customStyle="1" w:styleId="PEMbullet2-dotabv">
    <w:name w:val="PEM_bullet2-dot abv"/>
    <w:basedOn w:val="PEMbullet2-dot"/>
    <w:rsid w:val="00481233"/>
    <w:pPr>
      <w:spacing w:before="170"/>
    </w:pPr>
  </w:style>
  <w:style w:type="paragraph" w:customStyle="1" w:styleId="PEMbullet3-dotabv">
    <w:name w:val="PEM_bullet3-dot abv"/>
    <w:basedOn w:val="PEMbullet3-dot"/>
    <w:rsid w:val="00481233"/>
    <w:pPr>
      <w:spacing w:before="170"/>
    </w:pPr>
  </w:style>
  <w:style w:type="paragraph" w:customStyle="1" w:styleId="PEMbullet3-dashabv">
    <w:name w:val="PEM_bullet3-dash abv"/>
    <w:basedOn w:val="PEMbullet3-dash"/>
    <w:rsid w:val="00481233"/>
    <w:pPr>
      <w:spacing w:before="170"/>
    </w:pPr>
  </w:style>
  <w:style w:type="paragraph" w:customStyle="1" w:styleId="PEMbullet2-dashabv">
    <w:name w:val="PEM_bullet2-dash abv"/>
    <w:basedOn w:val="PEMbullet2-dash"/>
    <w:rsid w:val="00481233"/>
    <w:pPr>
      <w:spacing w:before="170"/>
    </w:pPr>
  </w:style>
  <w:style w:type="paragraph" w:customStyle="1" w:styleId="PEMbullet2body">
    <w:name w:val="PEM_bullet2 body"/>
    <w:rsid w:val="00481233"/>
    <w:pPr>
      <w:ind w:left="360"/>
    </w:pPr>
    <w:rPr>
      <w:rFonts w:ascii="Trebuchet MS" w:hAnsi="Trebuchet MS"/>
      <w:spacing w:val="-5"/>
      <w:sz w:val="17"/>
      <w:szCs w:val="17"/>
    </w:rPr>
  </w:style>
  <w:style w:type="paragraph" w:customStyle="1" w:styleId="PEMbullet2bodyabv">
    <w:name w:val="PEM_bullet2 body abv"/>
    <w:basedOn w:val="PEMbullet2body"/>
    <w:rsid w:val="00481233"/>
    <w:pPr>
      <w:spacing w:before="170"/>
    </w:pPr>
  </w:style>
  <w:style w:type="paragraph" w:customStyle="1" w:styleId="PEMbullet1numa-b-c">
    <w:name w:val="PEM_bullet1_num_a)-b)-c)"/>
    <w:rsid w:val="00481233"/>
    <w:pPr>
      <w:numPr>
        <w:numId w:val="6"/>
      </w:numPr>
    </w:pPr>
    <w:rPr>
      <w:rFonts w:ascii="Trebuchet MS" w:hAnsi="Trebuchet MS"/>
      <w:spacing w:val="-5"/>
      <w:sz w:val="17"/>
      <w:szCs w:val="17"/>
    </w:rPr>
  </w:style>
  <w:style w:type="paragraph" w:customStyle="1" w:styleId="PEMbullet1numa-b-cabv">
    <w:name w:val="PEM_bullet1_num_a)-b)-c) abv"/>
    <w:basedOn w:val="PEMbullet1numa-b-c"/>
    <w:rsid w:val="00481233"/>
    <w:pPr>
      <w:spacing w:before="170"/>
    </w:pPr>
  </w:style>
  <w:style w:type="paragraph" w:customStyle="1" w:styleId="PEMbullet2list-chkmrk">
    <w:name w:val="PEM_bullet2_list-chkmrk"/>
    <w:rsid w:val="00481233"/>
    <w:pPr>
      <w:ind w:left="720" w:hanging="360"/>
    </w:pPr>
    <w:rPr>
      <w:rFonts w:ascii="Trebuchet MS" w:hAnsi="Trebuchet MS"/>
      <w:spacing w:val="-5"/>
      <w:sz w:val="17"/>
      <w:szCs w:val="17"/>
    </w:rPr>
  </w:style>
  <w:style w:type="paragraph" w:customStyle="1" w:styleId="PEMbullet2list-chkmrkabv">
    <w:name w:val="PEM_bullet2_list-chkmrk abv"/>
    <w:basedOn w:val="PEMbullet2list-chkmrk"/>
    <w:rsid w:val="00481233"/>
    <w:pPr>
      <w:spacing w:before="170"/>
    </w:pPr>
  </w:style>
  <w:style w:type="paragraph" w:customStyle="1" w:styleId="PEMbullet1list-chkmrkabv">
    <w:name w:val="PEM_bullet1_list-chkmrk abv"/>
    <w:basedOn w:val="PEMbullet2list-chkmrkabv"/>
    <w:rsid w:val="00481233"/>
    <w:pPr>
      <w:ind w:left="360"/>
    </w:pPr>
  </w:style>
  <w:style w:type="paragraph" w:customStyle="1" w:styleId="PEMbullet1list-chkmrk">
    <w:name w:val="PEM_bullet1_list-chkmrk"/>
    <w:basedOn w:val="PEMbullet1list-chkmrkabv"/>
    <w:rsid w:val="00481233"/>
    <w:pPr>
      <w:spacing w:before="0"/>
    </w:pPr>
  </w:style>
  <w:style w:type="paragraph" w:customStyle="1" w:styleId="PEMbullet3list-chkmrkabv">
    <w:name w:val="PEM_bullet3_list-chkmrk abv"/>
    <w:basedOn w:val="PEMbullet1list-chkmrk"/>
    <w:rsid w:val="00481233"/>
    <w:pPr>
      <w:spacing w:before="170"/>
      <w:ind w:left="1080"/>
    </w:pPr>
  </w:style>
  <w:style w:type="paragraph" w:customStyle="1" w:styleId="PEMbullet3bodyabv">
    <w:name w:val="PEM_bullet3 body abv"/>
    <w:basedOn w:val="PEMbullet2bodyabv"/>
    <w:rsid w:val="00481233"/>
    <w:pPr>
      <w:ind w:left="720"/>
    </w:pPr>
  </w:style>
  <w:style w:type="paragraph" w:customStyle="1" w:styleId="PEMbullet3body">
    <w:name w:val="PEM_bullet3 body"/>
    <w:basedOn w:val="PEMbullet3bodyabv"/>
    <w:rsid w:val="00481233"/>
    <w:pPr>
      <w:spacing w:before="0"/>
    </w:pPr>
  </w:style>
  <w:style w:type="paragraph" w:customStyle="1" w:styleId="PEMbullet3list-chkmrk">
    <w:name w:val="PEM_bullet3_list-chkmrk"/>
    <w:basedOn w:val="PEMbullet3list-chkmrkabv"/>
    <w:rsid w:val="00481233"/>
    <w:pPr>
      <w:spacing w:before="0"/>
    </w:pPr>
  </w:style>
  <w:style w:type="paragraph" w:customStyle="1" w:styleId="PEMfooter-lndscpe">
    <w:name w:val="PEM_footer-lndscpe"/>
    <w:basedOn w:val="PEMfooter"/>
    <w:rsid w:val="00481233"/>
    <w:pPr>
      <w:tabs>
        <w:tab w:val="clear" w:pos="10080"/>
        <w:tab w:val="right" w:pos="13680"/>
      </w:tabs>
    </w:pPr>
  </w:style>
  <w:style w:type="paragraph" w:customStyle="1" w:styleId="PEMheader-lndscpe">
    <w:name w:val="PEM_header-lndscpe"/>
    <w:basedOn w:val="PEMheader"/>
    <w:rsid w:val="00481233"/>
    <w:pPr>
      <w:tabs>
        <w:tab w:val="clear" w:pos="10080"/>
        <w:tab w:val="right" w:pos="13680"/>
      </w:tabs>
    </w:pPr>
  </w:style>
  <w:style w:type="paragraph" w:customStyle="1" w:styleId="PEMheader-pageXofX-lndscpe">
    <w:name w:val="PEM_header-pageXofX-lndscpe"/>
    <w:basedOn w:val="PEMheader-pageXofX"/>
    <w:rsid w:val="00481233"/>
    <w:pPr>
      <w:tabs>
        <w:tab w:val="clear" w:pos="10080"/>
        <w:tab w:val="right" w:pos="13680"/>
      </w:tabs>
    </w:pPr>
  </w:style>
  <w:style w:type="paragraph" w:customStyle="1" w:styleId="PEMTableHead2">
    <w:name w:val="PEM_Table_Head2"/>
    <w:basedOn w:val="PEMNormal"/>
    <w:rsid w:val="00481233"/>
    <w:rPr>
      <w:b/>
    </w:rPr>
  </w:style>
  <w:style w:type="table" w:customStyle="1" w:styleId="TableGrid1">
    <w:name w:val="Table Grid1"/>
    <w:basedOn w:val="TableNormal"/>
    <w:next w:val="TableGrid"/>
    <w:rsid w:val="00272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ijevorm">
    <w:name w:val="Vrije vorm"/>
    <w:rsid w:val="00913D6D"/>
    <w:rPr>
      <w:rFonts w:ascii="Helvetica" w:eastAsia="ヒラギノ角ゴ Pro W3" w:hAnsi="Helvetica"/>
      <w:color w:val="000000"/>
      <w:sz w:val="24"/>
      <w:lang w:val="nl-NL" w:eastAsia="nl-BE"/>
    </w:rPr>
  </w:style>
  <w:style w:type="paragraph" w:styleId="Revision">
    <w:name w:val="Revision"/>
    <w:hidden/>
    <w:uiPriority w:val="99"/>
    <w:semiHidden/>
    <w:rsid w:val="00E96825"/>
    <w:rPr>
      <w:sz w:val="24"/>
      <w:szCs w:val="24"/>
      <w:lang w:val="fr-FR" w:eastAsia="fr-FR"/>
    </w:rPr>
  </w:style>
  <w:style w:type="character" w:styleId="Hyperlink">
    <w:name w:val="Hyperlink"/>
    <w:uiPriority w:val="99"/>
    <w:unhideWhenUsed/>
    <w:rsid w:val="0084203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www.icci.be/fr/publications-et-outils/mod-les-de-documents/mod-les-de-documents-detail-page/outils-pour-un-audit-isa-efficien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8" ma:contentTypeDescription="Create a new document." ma:contentTypeScope="" ma:versionID="b3b262afa2a7b433e6b1683e159186ee">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eff3c16c0fe5fb1460f5a1306d1a6105"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A6B10-90C1-4F9B-85B2-DB9DE951D3E2}">
  <ds:schemaRefs>
    <ds:schemaRef ds:uri="http://schemas.openxmlformats.org/officeDocument/2006/bibliography"/>
  </ds:schemaRefs>
</ds:datastoreItem>
</file>

<file path=customXml/itemProps2.xml><?xml version="1.0" encoding="utf-8"?>
<ds:datastoreItem xmlns:ds="http://schemas.openxmlformats.org/officeDocument/2006/customXml" ds:itemID="{12543AC1-B0F3-4154-AA02-DCBE677FAD87}">
  <ds:schemaRefs>
    <ds:schemaRef ds:uri="http://schemas.microsoft.com/office/2006/metadata/properties"/>
    <ds:schemaRef ds:uri="ff960655-24fd-4f3f-8e9c-285049d99abf"/>
    <ds:schemaRef ds:uri="86d8d313-957f-44b4-bb66-f96f0d40e904"/>
    <ds:schemaRef ds:uri="http://schemas.microsoft.com/office/infopath/2007/PartnerControls"/>
  </ds:schemaRefs>
</ds:datastoreItem>
</file>

<file path=customXml/itemProps3.xml><?xml version="1.0" encoding="utf-8"?>
<ds:datastoreItem xmlns:ds="http://schemas.openxmlformats.org/officeDocument/2006/customXml" ds:itemID="{B5328C96-CB7C-4898-8CC1-2CA4AA647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31809-BE0D-4F4B-9C0C-FE6F83B77D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Client ______________________________________________________________________________________</vt:lpstr>
    </vt:vector>
  </TitlesOfParts>
  <Company>*</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______________________________________________________________________________________</dc:title>
  <dc:creator>FocusROI Inc.</dc:creator>
  <cp:lastModifiedBy>Quintart Stéphanie</cp:lastModifiedBy>
  <cp:revision>4</cp:revision>
  <cp:lastPrinted>2011-11-23T11:06:00Z</cp:lastPrinted>
  <dcterms:created xsi:type="dcterms:W3CDTF">2011-12-17T09:44:00Z</dcterms:created>
  <dcterms:modified xsi:type="dcterms:W3CDTF">2022-07-13T10:43:00Z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0x010100686348715C70104394B9EC5FF59EE5BB</vt:lpwstr>
  </property>
  <property fmtid="{D5CDD505-2E9C-101B-9397-08002B2CF9AE}" pid="3" name="_dlc_DocIdItemGuid">
    <vt:lpwstr>a83d298c-a43f-4087-8ae7-751f89d9f35e</vt:lpwstr>
  </property>
  <property fmtid="{D5CDD505-2E9C-101B-9397-08002B2CF9AE}" pid="4" name="URL">
    <vt:lpwstr/>
  </property>
  <property fmtid="{D5CDD505-2E9C-101B-9397-08002B2CF9AE}" pid="5" name="DocumentSetDescription">
    <vt:lpwstr/>
  </property>
  <property fmtid="{D5CDD505-2E9C-101B-9397-08002B2CF9AE}" pid="6" name="MediaServiceImageTags">
    <vt:lpwstr/>
  </property>
</Properties>
</file>